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8FA11FF"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A51CC2">
        <w:rPr>
          <w:sz w:val="32"/>
          <w:szCs w:val="32"/>
        </w:rPr>
        <w:t>01878</w:t>
      </w:r>
    </w:p>
    <w:p w14:paraId="0CE7B7E6" w14:textId="400B29EA" w:rsidR="00E90E49" w:rsidRPr="00CE0424" w:rsidRDefault="00F12276" w:rsidP="00311702">
      <w:pPr>
        <w:pStyle w:val="3GPPHeader"/>
      </w:pPr>
      <w:r w:rsidRPr="00F12276">
        <w:t>Athens</w:t>
      </w:r>
      <w:r w:rsidR="0027144F" w:rsidRPr="00F12276">
        <w:t xml:space="preserve">, </w:t>
      </w:r>
      <w:r w:rsidRPr="00F12276">
        <w:t>Greece</w:t>
      </w:r>
      <w:r w:rsidR="0027144F" w:rsidRPr="00F12276">
        <w:t xml:space="preserve">, </w:t>
      </w:r>
      <w:r w:rsidRPr="00F12276">
        <w:t>27</w:t>
      </w:r>
      <w:r w:rsidR="001D53E7" w:rsidRPr="00F12276">
        <w:rPr>
          <w:vertAlign w:val="superscript"/>
        </w:rPr>
        <w:t>th</w:t>
      </w:r>
      <w:r w:rsidRPr="00F12276">
        <w:t xml:space="preserve"> February</w:t>
      </w:r>
      <w:r w:rsidR="001D53E7" w:rsidRPr="00F12276">
        <w:t xml:space="preserve"> – </w:t>
      </w:r>
      <w:r w:rsidRPr="00F12276">
        <w:t>3</w:t>
      </w:r>
      <w:r w:rsidRPr="00F12276">
        <w:rPr>
          <w:vertAlign w:val="superscript"/>
        </w:rPr>
        <w:t>rd</w:t>
      </w:r>
      <w:r w:rsidRPr="00F12276">
        <w:t xml:space="preserve"> March</w:t>
      </w:r>
      <w:r w:rsidR="00C37CB2" w:rsidRPr="00F12276">
        <w:t xml:space="preserve"> </w:t>
      </w:r>
      <w:r w:rsidR="0027144F" w:rsidRPr="00F12276">
        <w:t>20</w:t>
      </w:r>
      <w:r w:rsidRPr="00F12276">
        <w:t>23</w:t>
      </w:r>
    </w:p>
    <w:p w14:paraId="3086AC07" w14:textId="77777777" w:rsidR="00E90E49" w:rsidRPr="00CE0424" w:rsidRDefault="00E90E49" w:rsidP="00357380">
      <w:pPr>
        <w:pStyle w:val="3GPPHeader"/>
      </w:pPr>
    </w:p>
    <w:p w14:paraId="3982483C" w14:textId="51660CBD"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A51CC2">
        <w:rPr>
          <w:sz w:val="22"/>
          <w:lang w:val="sv-FI"/>
        </w:rPr>
        <w:t>9.13.2.2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7F0297F" w:rsidR="00E90E49" w:rsidRPr="00CE0424" w:rsidRDefault="003D3C45" w:rsidP="00311702">
      <w:pPr>
        <w:pStyle w:val="3GPPHeader"/>
        <w:rPr>
          <w:sz w:val="22"/>
        </w:rPr>
      </w:pPr>
      <w:r>
        <w:rPr>
          <w:sz w:val="22"/>
        </w:rPr>
        <w:t>Title:</w:t>
      </w:r>
      <w:r w:rsidR="00E90E49" w:rsidRPr="00CE0424">
        <w:rPr>
          <w:sz w:val="22"/>
        </w:rPr>
        <w:tab/>
      </w:r>
      <w:r w:rsidR="00F12276">
        <w:rPr>
          <w:sz w:val="22"/>
        </w:rPr>
        <w:t xml:space="preserve">ATG UE </w:t>
      </w:r>
      <w:r w:rsidR="00AB7DA2">
        <w:rPr>
          <w:sz w:val="22"/>
        </w:rPr>
        <w:t xml:space="preserve">TX </w:t>
      </w:r>
      <w:r w:rsidR="00F12276">
        <w:rPr>
          <w:sz w:val="22"/>
        </w:rPr>
        <w:t>requirements</w:t>
      </w:r>
    </w:p>
    <w:p w14:paraId="025260C1" w14:textId="4FE7D45F" w:rsidR="00E90E49" w:rsidRPr="00CE0424" w:rsidRDefault="00E90E49" w:rsidP="00D546FF">
      <w:pPr>
        <w:pStyle w:val="3GPPHeader"/>
        <w:rPr>
          <w:sz w:val="22"/>
        </w:rPr>
      </w:pPr>
      <w:r w:rsidRPr="00CE0424">
        <w:rPr>
          <w:sz w:val="22"/>
        </w:rPr>
        <w:t>Document for:</w:t>
      </w:r>
      <w:r w:rsidRPr="00CE0424">
        <w:rPr>
          <w:sz w:val="22"/>
        </w:rPr>
        <w:tab/>
      </w:r>
      <w:r w:rsidR="00F12276">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1A1D8880" w:rsidR="00477768" w:rsidRDefault="009E25D8" w:rsidP="00CE0424">
      <w:pPr>
        <w:pStyle w:val="BodyText"/>
      </w:pPr>
      <w:r>
        <w:t>During RAN4#105, a WF was agreed on UE requirements for ATG. Many issues are not yet resolved.</w:t>
      </w:r>
    </w:p>
    <w:p w14:paraId="7A0A4E65" w14:textId="7AC9BE7F" w:rsidR="009E25D8" w:rsidRDefault="009E25D8" w:rsidP="00CE0424">
      <w:pPr>
        <w:pStyle w:val="BodyText"/>
      </w:pPr>
      <w:r>
        <w:t xml:space="preserve">A fundamental issue for an ATG UE is that the hardware will not be comparable and mostly not re-usable from terrestrial UEs. An ATG UE will be mounted on the body of an aircraft and will need to fulfil all relevant avionics requirements, which are highly stringent on a component level and </w:t>
      </w:r>
      <w:r w:rsidR="003D712A">
        <w:t xml:space="preserve">in a </w:t>
      </w:r>
      <w:r>
        <w:t xml:space="preserve">quite different </w:t>
      </w:r>
      <w:r w:rsidR="003D712A">
        <w:t xml:space="preserve">environmental condition </w:t>
      </w:r>
      <w:r>
        <w:t xml:space="preserve">to TN UE. In addition, the output power, </w:t>
      </w:r>
      <w:proofErr w:type="gramStart"/>
      <w:r>
        <w:t>emissions</w:t>
      </w:r>
      <w:proofErr w:type="gramEnd"/>
      <w:r>
        <w:t xml:space="preserve"> and selectivity </w:t>
      </w:r>
      <w:r w:rsidR="00DA7134">
        <w:t xml:space="preserve">of an ATG UE might be </w:t>
      </w:r>
      <w:r w:rsidR="002B1953">
        <w:t>impacted by other nearby radio transmitters and receivers on the aircraft, some of which may be safety critical. The exact requirements on an ATG UE may depend on the aircraft type into which it is to be integrated.</w:t>
      </w:r>
    </w:p>
    <w:p w14:paraId="4BF19D01" w14:textId="7C0F2E0F" w:rsidR="002B1953" w:rsidRDefault="002B1953" w:rsidP="00CE0424">
      <w:pPr>
        <w:pStyle w:val="BodyText"/>
      </w:pPr>
      <w:r>
        <w:t xml:space="preserve">From a RAN4 perspective, a possible approach is to establish the minimum possible requirements to enable the cellular NR based communication to operate without placing any unnecessary constraints on the ATG UE. These requirements </w:t>
      </w:r>
      <w:r w:rsidR="00B65726">
        <w:t>might</w:t>
      </w:r>
      <w:r>
        <w:t xml:space="preserve"> not be fully </w:t>
      </w:r>
      <w:r w:rsidR="00B65726">
        <w:t>sufficient and</w:t>
      </w:r>
      <w:r>
        <w:t xml:space="preserve"> may in the worst case not even be feasible </w:t>
      </w:r>
      <w:r w:rsidR="00FB1DF3">
        <w:t>to meet</w:t>
      </w:r>
      <w:r>
        <w:t xml:space="preserve"> other avionics constraints. However, </w:t>
      </w:r>
      <w:proofErr w:type="gramStart"/>
      <w:r>
        <w:t>as long as</w:t>
      </w:r>
      <w:proofErr w:type="gramEnd"/>
      <w:r>
        <w:t xml:space="preserve"> care is taken that the requirements are indeed minimum and constrain as little as possible</w:t>
      </w:r>
      <w:r w:rsidR="00660F0C">
        <w:t>,</w:t>
      </w:r>
      <w:r>
        <w:t xml:space="preserve"> then they will </w:t>
      </w:r>
      <w:r w:rsidR="00FB1DF3">
        <w:t>ensure that cellular communication can work</w:t>
      </w:r>
      <w:r w:rsidR="00AC43AB">
        <w:t>. The RF requirements will</w:t>
      </w:r>
      <w:r w:rsidR="00FB1DF3">
        <w:t xml:space="preserve"> </w:t>
      </w:r>
      <w:r>
        <w:t xml:space="preserve">provide an essential baseline </w:t>
      </w:r>
      <w:r w:rsidR="00AC43AB">
        <w:t>to which the design of the avionics UE can add further (avionics related) requirements as needed</w:t>
      </w:r>
      <w:r>
        <w:t>.</w:t>
      </w:r>
    </w:p>
    <w:p w14:paraId="688B438B" w14:textId="6667186A" w:rsidR="002B1953" w:rsidRPr="00CE0424" w:rsidRDefault="002B1953" w:rsidP="00CE0424">
      <w:pPr>
        <w:pStyle w:val="BodyText"/>
      </w:pPr>
      <w:r>
        <w:t>In this contribution, the UE requirements are further examined to consider the minimum feasible requirement.</w:t>
      </w:r>
    </w:p>
    <w:p w14:paraId="60123794" w14:textId="12976007" w:rsidR="004000E8" w:rsidRDefault="00230D18" w:rsidP="00CE0424">
      <w:pPr>
        <w:pStyle w:val="Heading1"/>
      </w:pPr>
      <w:bookmarkStart w:id="0" w:name="_Ref178064866"/>
      <w:r>
        <w:t>2</w:t>
      </w:r>
      <w:r>
        <w:tab/>
      </w:r>
      <w:bookmarkEnd w:id="0"/>
      <w:r w:rsidR="002B1953">
        <w:t>Requirements from 38.101-1</w:t>
      </w:r>
    </w:p>
    <w:p w14:paraId="544B9574" w14:textId="5FC2171B" w:rsidR="002B1953" w:rsidRDefault="002B1953" w:rsidP="002B1953">
      <w:pPr>
        <w:rPr>
          <w:lang w:val="en-GB" w:eastAsia="ja-JP"/>
        </w:rPr>
      </w:pPr>
    </w:p>
    <w:p w14:paraId="33FD56C1" w14:textId="2CAE798B" w:rsidR="002B1953" w:rsidRDefault="002B1953" w:rsidP="002B1953">
      <w:pPr>
        <w:rPr>
          <w:u w:val="single"/>
          <w:lang w:val="en-GB" w:eastAsia="ja-JP"/>
        </w:rPr>
      </w:pPr>
      <w:r>
        <w:rPr>
          <w:u w:val="single"/>
          <w:lang w:val="en-GB" w:eastAsia="ja-JP"/>
        </w:rPr>
        <w:t>Maximum output power</w:t>
      </w:r>
    </w:p>
    <w:p w14:paraId="3C799300" w14:textId="7A6599B8" w:rsidR="009463C4" w:rsidRDefault="009463C4" w:rsidP="002B1953">
      <w:pPr>
        <w:rPr>
          <w:lang w:val="en-GB" w:eastAsia="ja-JP"/>
        </w:rPr>
      </w:pPr>
      <w:r>
        <w:rPr>
          <w:lang w:val="en-GB" w:eastAsia="ja-JP"/>
        </w:rPr>
        <w:t>The output power from the UE may depend on the aircraft type and exact deployment scenario. Currently, there is a lack of knowledge in 3GPP of the feasible output power for an ATG UE considering all design and regulatory constraints. For this reason, it was agreed at RAN4#105 that the output power, signalled to the network:</w:t>
      </w:r>
    </w:p>
    <w:p w14:paraId="58D98116" w14:textId="77777777" w:rsidR="009463C4" w:rsidRPr="001B61FC" w:rsidRDefault="009463C4" w:rsidP="009463C4">
      <w:pPr>
        <w:rPr>
          <w:bCs/>
          <w:i/>
          <w:iCs/>
        </w:rPr>
      </w:pPr>
      <w:r w:rsidRPr="001B61FC">
        <w:rPr>
          <w:bCs/>
          <w:i/>
          <w:iCs/>
        </w:rPr>
        <w:t xml:space="preserve">RAN4 can specify a range of ATG UE MOP, </w:t>
      </w:r>
      <w:proofErr w:type="gramStart"/>
      <w:r w:rsidRPr="001B61FC">
        <w:rPr>
          <w:bCs/>
          <w:i/>
          <w:iCs/>
        </w:rPr>
        <w:t>e.g..</w:t>
      </w:r>
      <w:proofErr w:type="gramEnd"/>
      <w:r w:rsidRPr="001B61FC">
        <w:rPr>
          <w:bCs/>
          <w:i/>
          <w:iCs/>
        </w:rPr>
        <w:t xml:space="preserve"> 29dBm ~ FFS. ATG UE can indicate its MOP by using UE capability. The tolerance of ATG UE MOP can be ±2dB.</w:t>
      </w:r>
    </w:p>
    <w:p w14:paraId="2B3A0887" w14:textId="4EFDE87F" w:rsidR="009463C4" w:rsidRPr="001B61FC" w:rsidRDefault="009463C4" w:rsidP="009463C4">
      <w:pPr>
        <w:rPr>
          <w:bCs/>
          <w:i/>
          <w:iCs/>
        </w:rPr>
      </w:pPr>
      <w:r w:rsidRPr="001B61FC">
        <w:rPr>
          <w:bCs/>
          <w:i/>
          <w:iCs/>
        </w:rPr>
        <w:t xml:space="preserve">The indicated capability takes into account the band in which the UE is </w:t>
      </w:r>
      <w:proofErr w:type="gramStart"/>
      <w:r w:rsidRPr="001B61FC">
        <w:rPr>
          <w:bCs/>
          <w:i/>
          <w:iCs/>
        </w:rPr>
        <w:t>operating</w:t>
      </w:r>
      <w:proofErr w:type="gramEnd"/>
      <w:r w:rsidRPr="001B61FC">
        <w:rPr>
          <w:bCs/>
          <w:i/>
          <w:iCs/>
        </w:rPr>
        <w:t xml:space="preserve"> and any NS value </w:t>
      </w:r>
      <w:r w:rsidR="001B61FC" w:rsidRPr="001B61FC">
        <w:rPr>
          <w:bCs/>
          <w:i/>
          <w:iCs/>
        </w:rPr>
        <w:t>signaled</w:t>
      </w:r>
      <w:r w:rsidRPr="001B61FC">
        <w:rPr>
          <w:bCs/>
          <w:i/>
          <w:iCs/>
        </w:rPr>
        <w:t>.</w:t>
      </w:r>
    </w:p>
    <w:p w14:paraId="25EB8EFF" w14:textId="0FBEDC64" w:rsidR="009463C4" w:rsidRDefault="001B61FC" w:rsidP="002B1953">
      <w:pPr>
        <w:rPr>
          <w:lang w:val="en-GB" w:eastAsia="ja-JP"/>
        </w:rPr>
      </w:pPr>
      <w:proofErr w:type="gramStart"/>
      <w:r>
        <w:rPr>
          <w:lang w:val="en-GB" w:eastAsia="ja-JP"/>
        </w:rPr>
        <w:t>In</w:t>
      </w:r>
      <w:r w:rsidR="002A5416">
        <w:rPr>
          <w:lang w:val="en-GB" w:eastAsia="ja-JP"/>
        </w:rPr>
        <w:t xml:space="preserve"> regard to</w:t>
      </w:r>
      <w:proofErr w:type="gramEnd"/>
      <w:r w:rsidR="002A5416">
        <w:rPr>
          <w:lang w:val="en-GB" w:eastAsia="ja-JP"/>
        </w:rPr>
        <w:t xml:space="preserve"> the output power range, the upper end should be limited to the maximum output power modelled in the co-existence simulations, since this is the basis for ensuring co-existence. The minimum power could be somewhat lower than </w:t>
      </w:r>
      <w:proofErr w:type="gramStart"/>
      <w:r w:rsidR="002A5416">
        <w:rPr>
          <w:lang w:val="en-GB" w:eastAsia="ja-JP"/>
        </w:rPr>
        <w:t>29dBm;</w:t>
      </w:r>
      <w:proofErr w:type="gramEnd"/>
      <w:r w:rsidR="002A5416">
        <w:rPr>
          <w:lang w:val="en-GB" w:eastAsia="ja-JP"/>
        </w:rPr>
        <w:t xml:space="preserve"> e.g. 23dBm, to cover for any scenarios in which the UE is always expected to be relatively close to the BS, or for UEs with a larger array gain.</w:t>
      </w:r>
    </w:p>
    <w:p w14:paraId="61D2BAAA" w14:textId="2FDDA06D" w:rsidR="002A5416" w:rsidRPr="009463C4" w:rsidRDefault="002A5416" w:rsidP="002A5416">
      <w:pPr>
        <w:pStyle w:val="Proposal"/>
        <w:rPr>
          <w:lang w:val="en-GB"/>
        </w:rPr>
      </w:pPr>
      <w:bookmarkStart w:id="1" w:name="_Toc127552386"/>
      <w:r>
        <w:rPr>
          <w:lang w:val="en-GB"/>
        </w:rPr>
        <w:lastRenderedPageBreak/>
        <w:t>The output power range is 23dBm – [Maximum output power used in co-existence simulations]</w:t>
      </w:r>
      <w:bookmarkEnd w:id="1"/>
    </w:p>
    <w:p w14:paraId="42201D3C" w14:textId="77777777" w:rsidR="009463C4" w:rsidRDefault="009463C4" w:rsidP="002B1953">
      <w:pPr>
        <w:rPr>
          <w:u w:val="single"/>
          <w:lang w:val="en-GB" w:eastAsia="ja-JP"/>
        </w:rPr>
      </w:pPr>
    </w:p>
    <w:p w14:paraId="4E3CD58B" w14:textId="3EED9088" w:rsidR="002B1953" w:rsidRDefault="002B1953" w:rsidP="002B1953">
      <w:pPr>
        <w:rPr>
          <w:u w:val="single"/>
          <w:lang w:val="en-GB" w:eastAsia="ja-JP"/>
        </w:rPr>
      </w:pPr>
      <w:r>
        <w:rPr>
          <w:u w:val="single"/>
          <w:lang w:val="en-GB" w:eastAsia="ja-JP"/>
        </w:rPr>
        <w:t>MPR and A-MPR</w:t>
      </w:r>
    </w:p>
    <w:p w14:paraId="3ACE7E35" w14:textId="35B9A89E" w:rsidR="002A5416" w:rsidRDefault="002A5416" w:rsidP="002B1953">
      <w:pPr>
        <w:rPr>
          <w:lang w:val="en-GB" w:eastAsia="ja-JP"/>
        </w:rPr>
      </w:pPr>
      <w:r>
        <w:rPr>
          <w:lang w:val="en-GB" w:eastAsia="ja-JP"/>
        </w:rPr>
        <w:t xml:space="preserve">The UE specification allows for MPR to take into account of differing PAPR characteristics for </w:t>
      </w:r>
      <w:proofErr w:type="gramStart"/>
      <w:r>
        <w:rPr>
          <w:lang w:val="en-GB" w:eastAsia="ja-JP"/>
        </w:rPr>
        <w:t>e.g.</w:t>
      </w:r>
      <w:proofErr w:type="gramEnd"/>
      <w:r>
        <w:rPr>
          <w:lang w:val="en-GB" w:eastAsia="ja-JP"/>
        </w:rPr>
        <w:t xml:space="preserve"> modulation order or CA. It also allows for A-MPR to </w:t>
      </w:r>
      <w:r w:rsidR="00E15AD6">
        <w:rPr>
          <w:lang w:val="en-GB" w:eastAsia="ja-JP"/>
        </w:rPr>
        <w:t>enable UEs</w:t>
      </w:r>
      <w:r>
        <w:rPr>
          <w:lang w:val="en-GB" w:eastAsia="ja-JP"/>
        </w:rPr>
        <w:t xml:space="preserve"> to reach regional emissions limits indicated by NS values.</w:t>
      </w:r>
    </w:p>
    <w:p w14:paraId="3AEEA107" w14:textId="6C1496F2" w:rsidR="002A5416" w:rsidRDefault="002A5416" w:rsidP="002B1953">
      <w:pPr>
        <w:rPr>
          <w:lang w:val="en-GB" w:eastAsia="ja-JP"/>
        </w:rPr>
      </w:pPr>
      <w:r>
        <w:rPr>
          <w:lang w:val="en-GB" w:eastAsia="ja-JP"/>
        </w:rPr>
        <w:t xml:space="preserve">The IAB-MT, for which the output power is declared, does not have MPR or A-MPR. However, an IAB is deployed in a known area and the declared power can </w:t>
      </w:r>
      <w:proofErr w:type="gramStart"/>
      <w:r>
        <w:rPr>
          <w:lang w:val="en-GB" w:eastAsia="ja-JP"/>
        </w:rPr>
        <w:t>take into account</w:t>
      </w:r>
      <w:proofErr w:type="gramEnd"/>
      <w:r>
        <w:rPr>
          <w:lang w:val="en-GB" w:eastAsia="ja-JP"/>
        </w:rPr>
        <w:t xml:space="preserve"> regional emissions limits. Also, an IAB-MT is expected to operate with </w:t>
      </w:r>
      <w:proofErr w:type="spellStart"/>
      <w:r w:rsidR="006877A3">
        <w:rPr>
          <w:lang w:val="en-GB" w:eastAsia="ja-JP"/>
        </w:rPr>
        <w:t>LoS</w:t>
      </w:r>
      <w:proofErr w:type="spellEnd"/>
      <w:r w:rsidR="006877A3">
        <w:rPr>
          <w:lang w:val="en-GB" w:eastAsia="ja-JP"/>
        </w:rPr>
        <w:t xml:space="preserve"> and a </w:t>
      </w:r>
      <w:r>
        <w:rPr>
          <w:lang w:val="en-GB" w:eastAsia="ja-JP"/>
        </w:rPr>
        <w:t xml:space="preserve">higher modulation order </w:t>
      </w:r>
      <w:r w:rsidR="006877A3">
        <w:rPr>
          <w:lang w:val="en-GB" w:eastAsia="ja-JP"/>
        </w:rPr>
        <w:t xml:space="preserve">most of the time </w:t>
      </w:r>
      <w:r>
        <w:rPr>
          <w:lang w:val="en-GB" w:eastAsia="ja-JP"/>
        </w:rPr>
        <w:t xml:space="preserve">and needed MPR </w:t>
      </w:r>
      <w:r w:rsidR="006877A3">
        <w:rPr>
          <w:lang w:val="en-GB" w:eastAsia="ja-JP"/>
        </w:rPr>
        <w:t xml:space="preserve">for the modulation </w:t>
      </w:r>
      <w:r>
        <w:rPr>
          <w:lang w:val="en-GB" w:eastAsia="ja-JP"/>
        </w:rPr>
        <w:t xml:space="preserve">can be </w:t>
      </w:r>
      <w:proofErr w:type="gramStart"/>
      <w:r>
        <w:rPr>
          <w:lang w:val="en-GB" w:eastAsia="ja-JP"/>
        </w:rPr>
        <w:t>taken into account</w:t>
      </w:r>
      <w:proofErr w:type="gramEnd"/>
      <w:r>
        <w:rPr>
          <w:lang w:val="en-GB" w:eastAsia="ja-JP"/>
        </w:rPr>
        <w:t xml:space="preserve"> in the declared power level.</w:t>
      </w:r>
    </w:p>
    <w:p w14:paraId="36E3C8D8" w14:textId="2A8FD9F1" w:rsidR="002A5416" w:rsidRDefault="00447D80" w:rsidP="002B1953">
      <w:pPr>
        <w:rPr>
          <w:lang w:val="en-GB" w:eastAsia="ja-JP"/>
        </w:rPr>
      </w:pPr>
      <w:r>
        <w:rPr>
          <w:lang w:val="en-GB" w:eastAsia="ja-JP"/>
        </w:rPr>
        <w:t xml:space="preserve">In the case of an ATG UE, the UE may pass between different regions, and hence need to meet different requirements (i.e., different NS values). It could potentially change </w:t>
      </w:r>
      <w:r w:rsidR="00A60C77">
        <w:rPr>
          <w:lang w:val="en-GB" w:eastAsia="ja-JP"/>
        </w:rPr>
        <w:t>its</w:t>
      </w:r>
      <w:r>
        <w:rPr>
          <w:lang w:val="en-GB" w:eastAsia="ja-JP"/>
        </w:rPr>
        <w:t xml:space="preserve"> maximum output power by means of indicating a new UE capability for maximum output power. Alternatively, A-MPR could be used.</w:t>
      </w:r>
    </w:p>
    <w:p w14:paraId="17676503" w14:textId="563E6A06" w:rsidR="00447D80" w:rsidRDefault="00447D80" w:rsidP="002B1953">
      <w:pPr>
        <w:rPr>
          <w:lang w:val="en-GB" w:eastAsia="ja-JP"/>
        </w:rPr>
      </w:pPr>
      <w:r>
        <w:rPr>
          <w:lang w:val="en-GB" w:eastAsia="ja-JP"/>
        </w:rPr>
        <w:t>One consideration for an ATG UE is that the components will need to be avionics grade and the output power will be different to other types of UEs. Taking this into account, it may be that the A-MPR values captured in the specification are not suitable for an ATG UE. Allowing for the UE to re-signal it’s MOP could avoid the need to examine the A-MPR values.</w:t>
      </w:r>
    </w:p>
    <w:p w14:paraId="337644F1" w14:textId="72881B99" w:rsidR="00447D80" w:rsidRDefault="00447D80" w:rsidP="002B1953">
      <w:pPr>
        <w:rPr>
          <w:lang w:val="en-GB" w:eastAsia="ja-JP"/>
        </w:rPr>
      </w:pPr>
      <w:r>
        <w:rPr>
          <w:lang w:val="en-GB" w:eastAsia="ja-JP"/>
        </w:rPr>
        <w:t>It should be noted that the NS value is only likely to change when the UE changes region and operator and so signalling a new capability with a different MOP should be straightforward.</w:t>
      </w:r>
    </w:p>
    <w:p w14:paraId="09CAA75C" w14:textId="59BAE1F9" w:rsidR="00447D80" w:rsidRDefault="00447D80" w:rsidP="00447D80">
      <w:pPr>
        <w:pStyle w:val="Proposal"/>
        <w:rPr>
          <w:lang w:val="en-GB"/>
        </w:rPr>
      </w:pPr>
      <w:bookmarkStart w:id="2" w:name="_Toc127552387"/>
      <w:r>
        <w:rPr>
          <w:lang w:val="en-GB"/>
        </w:rPr>
        <w:t>To deal with different NS values in different regions, the UE could signal a different MOP when it enters a network with a different NS instead of using A-MPR.</w:t>
      </w:r>
      <w:bookmarkEnd w:id="2"/>
    </w:p>
    <w:p w14:paraId="717BECFD" w14:textId="0849429E" w:rsidR="00447D80" w:rsidRDefault="00447D80" w:rsidP="00447D80">
      <w:pPr>
        <w:pStyle w:val="Proposal"/>
        <w:rPr>
          <w:lang w:val="en-GB"/>
        </w:rPr>
      </w:pPr>
      <w:bookmarkStart w:id="3" w:name="_Toc127552388"/>
      <w:r>
        <w:rPr>
          <w:lang w:val="en-GB"/>
        </w:rPr>
        <w:t>In case A-MPR would be used, RAN4 needs to check whether the current A-MPR are suitable for avionics UEs at higher TX power.</w:t>
      </w:r>
      <w:bookmarkEnd w:id="3"/>
    </w:p>
    <w:p w14:paraId="30BFCBB9" w14:textId="31F29FE9" w:rsidR="00447D80" w:rsidRDefault="00447D80" w:rsidP="002B1953">
      <w:pPr>
        <w:rPr>
          <w:lang w:val="en-GB" w:eastAsia="ja-JP"/>
        </w:rPr>
      </w:pPr>
    </w:p>
    <w:p w14:paraId="43ED8815" w14:textId="476E04C7" w:rsidR="00447D80" w:rsidRDefault="00447D80" w:rsidP="002B1953">
      <w:pPr>
        <w:rPr>
          <w:lang w:val="en-GB" w:eastAsia="ja-JP"/>
        </w:rPr>
      </w:pPr>
      <w:r>
        <w:rPr>
          <w:lang w:val="en-GB" w:eastAsia="ja-JP"/>
        </w:rPr>
        <w:t xml:space="preserve">Regarding MPR, currently there is no CA for ATG UEs, and so the question </w:t>
      </w:r>
      <w:r w:rsidR="002109F9">
        <w:rPr>
          <w:lang w:val="en-GB" w:eastAsia="ja-JP"/>
        </w:rPr>
        <w:t xml:space="preserve">would be whether MPR should be defined to </w:t>
      </w:r>
      <w:proofErr w:type="gramStart"/>
      <w:r w:rsidR="002109F9">
        <w:rPr>
          <w:lang w:val="en-GB" w:eastAsia="ja-JP"/>
        </w:rPr>
        <w:t>take into account</w:t>
      </w:r>
      <w:proofErr w:type="gramEnd"/>
      <w:r w:rsidR="002109F9">
        <w:rPr>
          <w:lang w:val="en-GB" w:eastAsia="ja-JP"/>
        </w:rPr>
        <w:t xml:space="preserve"> modulation order and PA configuration. Since the link to the aircraft will be </w:t>
      </w:r>
      <w:proofErr w:type="spellStart"/>
      <w:r w:rsidR="002109F9">
        <w:rPr>
          <w:lang w:val="en-GB" w:eastAsia="ja-JP"/>
        </w:rPr>
        <w:t>LoS</w:t>
      </w:r>
      <w:proofErr w:type="spellEnd"/>
      <w:r w:rsidR="002109F9">
        <w:rPr>
          <w:lang w:val="en-GB" w:eastAsia="ja-JP"/>
        </w:rPr>
        <w:t xml:space="preserve"> and should be high capacity, it can be expected that the same modulation order will be used most of the time and that the modulation order should be high. It is not likely that the aircraft will operate at a coverage limit with </w:t>
      </w:r>
      <w:proofErr w:type="gramStart"/>
      <w:r w:rsidR="002109F9">
        <w:rPr>
          <w:lang w:val="en-GB" w:eastAsia="ja-JP"/>
        </w:rPr>
        <w:t>e.g.</w:t>
      </w:r>
      <w:proofErr w:type="gramEnd"/>
      <w:r w:rsidR="002109F9">
        <w:rPr>
          <w:lang w:val="en-GB" w:eastAsia="ja-JP"/>
        </w:rPr>
        <w:t xml:space="preserve"> QPSK as the capacity would then be too low for serving all passengers within the aircraft. Thus, in our view it should be sufficient to state the MOP assuming maximum modulation order. We do not have a strong view though and MPR could be defined if needed. However, a difficult</w:t>
      </w:r>
      <w:r w:rsidR="004B1A2B">
        <w:rPr>
          <w:lang w:val="en-GB" w:eastAsia="ja-JP"/>
        </w:rPr>
        <w:t>y</w:t>
      </w:r>
      <w:r w:rsidR="002109F9">
        <w:rPr>
          <w:lang w:val="en-GB" w:eastAsia="ja-JP"/>
        </w:rPr>
        <w:t xml:space="preserve"> with defining MPR is that it may not be fully clear whether the MPR can be the same for avionics UEs with higher output power as for conventional </w:t>
      </w:r>
      <w:proofErr w:type="spellStart"/>
      <w:r w:rsidR="002109F9">
        <w:rPr>
          <w:lang w:val="en-GB" w:eastAsia="ja-JP"/>
        </w:rPr>
        <w:t>U</w:t>
      </w:r>
      <w:r w:rsidR="00F3428E">
        <w:rPr>
          <w:lang w:val="en-GB" w:eastAsia="ja-JP"/>
        </w:rPr>
        <w:t>e</w:t>
      </w:r>
      <w:r w:rsidR="002109F9">
        <w:rPr>
          <w:lang w:val="en-GB" w:eastAsia="ja-JP"/>
        </w:rPr>
        <w:t>s</w:t>
      </w:r>
      <w:proofErr w:type="spellEnd"/>
      <w:r w:rsidR="002109F9">
        <w:rPr>
          <w:lang w:val="en-GB" w:eastAsia="ja-JP"/>
        </w:rPr>
        <w:t>.</w:t>
      </w:r>
    </w:p>
    <w:p w14:paraId="184743C9" w14:textId="5A7C8A69" w:rsidR="002109F9" w:rsidRDefault="002109F9" w:rsidP="002109F9">
      <w:pPr>
        <w:pStyle w:val="Proposal"/>
        <w:rPr>
          <w:lang w:val="en-GB"/>
        </w:rPr>
      </w:pPr>
      <w:bookmarkStart w:id="4" w:name="_Toc127552389"/>
      <w:r>
        <w:rPr>
          <w:lang w:val="en-GB"/>
        </w:rPr>
        <w:t>Specify the MOP to be at maximum modulation order instead of defining MPR.</w:t>
      </w:r>
      <w:bookmarkEnd w:id="4"/>
    </w:p>
    <w:p w14:paraId="2B07F3EE" w14:textId="77777777" w:rsidR="002A5416" w:rsidRPr="002A5416" w:rsidRDefault="002A5416" w:rsidP="002B1953">
      <w:pPr>
        <w:rPr>
          <w:lang w:val="en-GB" w:eastAsia="ja-JP"/>
        </w:rPr>
      </w:pPr>
    </w:p>
    <w:p w14:paraId="0728DAAC" w14:textId="4D6714FC" w:rsidR="002B1953" w:rsidRDefault="002B1953" w:rsidP="002B1953">
      <w:pPr>
        <w:rPr>
          <w:u w:val="single"/>
          <w:lang w:val="en-GB" w:eastAsia="ja-JP"/>
        </w:rPr>
      </w:pPr>
      <w:r>
        <w:rPr>
          <w:u w:val="single"/>
          <w:lang w:val="en-GB" w:eastAsia="ja-JP"/>
        </w:rPr>
        <w:t>Minimum output power</w:t>
      </w:r>
    </w:p>
    <w:p w14:paraId="069CE057" w14:textId="19988857" w:rsidR="002109F9" w:rsidRDefault="002109F9" w:rsidP="002B1953">
      <w:pPr>
        <w:rPr>
          <w:lang w:val="en-GB" w:eastAsia="ja-JP"/>
        </w:rPr>
      </w:pPr>
      <w:r>
        <w:rPr>
          <w:lang w:val="en-GB" w:eastAsia="ja-JP"/>
        </w:rPr>
        <w:t>The minimum output power can be estimated based on the scenario with minimum pathloss towards the BS and maximum antenna gain.</w:t>
      </w:r>
    </w:p>
    <w:p w14:paraId="0BB32F33" w14:textId="78E9BD45" w:rsidR="002109F9" w:rsidRDefault="002109F9" w:rsidP="002B1953">
      <w:pPr>
        <w:rPr>
          <w:lang w:val="en-GB" w:eastAsia="ja-JP"/>
        </w:rPr>
      </w:pPr>
      <w:r>
        <w:rPr>
          <w:lang w:val="en-GB" w:eastAsia="ja-JP"/>
        </w:rPr>
        <w:t>The minimum altitude considered for ATG is 3km</w:t>
      </w:r>
      <w:r w:rsidR="001A35EC">
        <w:rPr>
          <w:lang w:val="en-GB" w:eastAsia="ja-JP"/>
        </w:rPr>
        <w:t xml:space="preserve">, and thus the absolute minimum </w:t>
      </w:r>
      <w:r w:rsidR="00F965EA">
        <w:rPr>
          <w:lang w:val="en-GB" w:eastAsia="ja-JP"/>
        </w:rPr>
        <w:t xml:space="preserve">possible </w:t>
      </w:r>
      <w:r w:rsidR="001A35EC">
        <w:rPr>
          <w:lang w:val="en-GB" w:eastAsia="ja-JP"/>
        </w:rPr>
        <w:t xml:space="preserve">distance from the aircraft to an ATG BS is 3km. We consider a scenario with the BS antenna pointing straight up at the UE and the UE antenna pointing straight down. This scenario is not very likely, but it is the minimum </w:t>
      </w:r>
      <w:r w:rsidR="005701D8">
        <w:rPr>
          <w:lang w:val="en-GB" w:eastAsia="ja-JP"/>
        </w:rPr>
        <w:t xml:space="preserve">theoretically </w:t>
      </w:r>
      <w:r w:rsidR="001A35EC">
        <w:rPr>
          <w:lang w:val="en-GB" w:eastAsia="ja-JP"/>
        </w:rPr>
        <w:t xml:space="preserve">possible pathloss. </w:t>
      </w:r>
      <w:r w:rsidR="002D3D55">
        <w:rPr>
          <w:lang w:val="en-GB" w:eastAsia="ja-JP"/>
        </w:rPr>
        <w:t xml:space="preserve">We assume a minimum likely SNR target of 0dB. </w:t>
      </w:r>
      <w:proofErr w:type="gramStart"/>
      <w:r w:rsidR="002D3D55">
        <w:rPr>
          <w:lang w:val="en-GB" w:eastAsia="ja-JP"/>
        </w:rPr>
        <w:t>In reality</w:t>
      </w:r>
      <w:r w:rsidR="00472D43">
        <w:rPr>
          <w:lang w:val="en-GB" w:eastAsia="ja-JP"/>
        </w:rPr>
        <w:t>,</w:t>
      </w:r>
      <w:r w:rsidR="002D3D55">
        <w:rPr>
          <w:lang w:val="en-GB" w:eastAsia="ja-JP"/>
        </w:rPr>
        <w:t xml:space="preserve"> a</w:t>
      </w:r>
      <w:proofErr w:type="gramEnd"/>
      <w:r w:rsidR="002D3D55">
        <w:rPr>
          <w:lang w:val="en-GB" w:eastAsia="ja-JP"/>
        </w:rPr>
        <w:t xml:space="preserve"> higher SNR target is likely to be deployed and the needed power would then be </w:t>
      </w:r>
      <w:r w:rsidR="0065555D">
        <w:rPr>
          <w:lang w:val="en-GB" w:eastAsia="ja-JP"/>
        </w:rPr>
        <w:t>higher than this minimum</w:t>
      </w:r>
      <w:r w:rsidR="002D3D55">
        <w:rPr>
          <w:lang w:val="en-GB" w:eastAsia="ja-JP"/>
        </w:rPr>
        <w:t xml:space="preserve">. </w:t>
      </w:r>
      <w:r w:rsidR="00B316E1">
        <w:rPr>
          <w:lang w:val="en-GB" w:eastAsia="ja-JP"/>
        </w:rPr>
        <w:t>Hence</w:t>
      </w:r>
      <w:r w:rsidR="001A35EC">
        <w:rPr>
          <w:lang w:val="en-GB" w:eastAsia="ja-JP"/>
        </w:rPr>
        <w:t xml:space="preserve"> the estimate of minimum UE power based on this scenario is pessimistic and the UE power could be higher.</w:t>
      </w:r>
    </w:p>
    <w:p w14:paraId="764492C6" w14:textId="14D3CEF3" w:rsidR="001A35EC" w:rsidRDefault="005701D8" w:rsidP="002B1953">
      <w:pPr>
        <w:rPr>
          <w:lang w:val="en-GB" w:eastAsia="ja-JP"/>
        </w:rPr>
      </w:pPr>
      <w:r>
        <w:rPr>
          <w:lang w:val="en-GB" w:eastAsia="ja-JP"/>
        </w:rPr>
        <w:lastRenderedPageBreak/>
        <w:t>With the above assumption, f</w:t>
      </w:r>
      <w:r w:rsidR="001A35EC">
        <w:rPr>
          <w:lang w:val="en-GB" w:eastAsia="ja-JP"/>
        </w:rPr>
        <w:t>or 2GHz and an omni-directional UE, the coupling loss is 108dB (pathloss) – 2</w:t>
      </w:r>
      <w:r w:rsidR="004867B1">
        <w:rPr>
          <w:lang w:val="en-GB" w:eastAsia="ja-JP"/>
        </w:rPr>
        <w:t>4</w:t>
      </w:r>
      <w:r w:rsidR="001A35EC">
        <w:rPr>
          <w:lang w:val="en-GB" w:eastAsia="ja-JP"/>
        </w:rPr>
        <w:t>dB (BS antenna gain) = 8</w:t>
      </w:r>
      <w:r w:rsidR="00824B6D">
        <w:rPr>
          <w:lang w:val="en-GB" w:eastAsia="ja-JP"/>
        </w:rPr>
        <w:t>4</w:t>
      </w:r>
      <w:r w:rsidR="001A35EC">
        <w:rPr>
          <w:lang w:val="en-GB" w:eastAsia="ja-JP"/>
        </w:rPr>
        <w:t>dB. In 20MHz, the BS noise floor is -96 dBm. So, the UE power needed is -</w:t>
      </w:r>
      <w:r w:rsidR="00824B6D">
        <w:rPr>
          <w:lang w:val="en-GB" w:eastAsia="ja-JP"/>
        </w:rPr>
        <w:t>12</w:t>
      </w:r>
      <w:r w:rsidR="001A35EC">
        <w:rPr>
          <w:lang w:val="en-GB" w:eastAsia="ja-JP"/>
        </w:rPr>
        <w:t xml:space="preserve"> dBm.</w:t>
      </w:r>
    </w:p>
    <w:p w14:paraId="5C60CE14" w14:textId="5646CDDA" w:rsidR="001A35EC" w:rsidRDefault="001A35EC" w:rsidP="002B1953">
      <w:pPr>
        <w:rPr>
          <w:lang w:val="en-GB" w:eastAsia="ja-JP"/>
        </w:rPr>
      </w:pPr>
      <w:r>
        <w:rPr>
          <w:lang w:val="en-GB" w:eastAsia="ja-JP"/>
        </w:rPr>
        <w:t>For 4GHz and a 20dB gain UE, the coupling loss is 114dB (pathloss) – 2</w:t>
      </w:r>
      <w:r w:rsidR="00824B6D">
        <w:rPr>
          <w:lang w:val="en-GB" w:eastAsia="ja-JP"/>
        </w:rPr>
        <w:t>4</w:t>
      </w:r>
      <w:r>
        <w:rPr>
          <w:lang w:val="en-GB" w:eastAsia="ja-JP"/>
        </w:rPr>
        <w:t xml:space="preserve">dB (BS antenna gain) – </w:t>
      </w:r>
      <w:r w:rsidR="00C30730">
        <w:rPr>
          <w:lang w:val="en-GB" w:eastAsia="ja-JP"/>
        </w:rPr>
        <w:t>17</w:t>
      </w:r>
      <w:r>
        <w:rPr>
          <w:lang w:val="en-GB" w:eastAsia="ja-JP"/>
        </w:rPr>
        <w:t>dB (UE antenna gain) = 7</w:t>
      </w:r>
      <w:r w:rsidR="00C30730">
        <w:rPr>
          <w:lang w:val="en-GB" w:eastAsia="ja-JP"/>
        </w:rPr>
        <w:t>3</w:t>
      </w:r>
      <w:r>
        <w:rPr>
          <w:lang w:val="en-GB" w:eastAsia="ja-JP"/>
        </w:rPr>
        <w:t>dB. In 100M</w:t>
      </w:r>
      <w:r w:rsidR="00D370F6">
        <w:rPr>
          <w:lang w:val="en-GB" w:eastAsia="ja-JP"/>
        </w:rPr>
        <w:t>H</w:t>
      </w:r>
      <w:r>
        <w:rPr>
          <w:lang w:val="en-GB" w:eastAsia="ja-JP"/>
        </w:rPr>
        <w:t>z, the BS noise power is -89dBm. So, the UE output power needed is -1</w:t>
      </w:r>
      <w:r w:rsidR="00C30730">
        <w:rPr>
          <w:lang w:val="en-GB" w:eastAsia="ja-JP"/>
        </w:rPr>
        <w:t>6</w:t>
      </w:r>
      <w:r w:rsidR="00F3428E">
        <w:rPr>
          <w:lang w:val="en-GB" w:eastAsia="ja-JP"/>
        </w:rPr>
        <w:t xml:space="preserve"> </w:t>
      </w:r>
      <w:r>
        <w:rPr>
          <w:lang w:val="en-GB" w:eastAsia="ja-JP"/>
        </w:rPr>
        <w:t>dBm.</w:t>
      </w:r>
    </w:p>
    <w:p w14:paraId="217EEC47" w14:textId="4419B7A4" w:rsidR="001A35EC" w:rsidRDefault="001A35EC" w:rsidP="002B1953">
      <w:pPr>
        <w:rPr>
          <w:lang w:val="en-GB" w:eastAsia="ja-JP"/>
        </w:rPr>
      </w:pPr>
      <w:r>
        <w:rPr>
          <w:lang w:val="en-GB" w:eastAsia="ja-JP"/>
        </w:rPr>
        <w:t>Taking this into account, a minimum output power of -20dBm should be sufficient. The analysis is of an unlikely scenario of an aircraft at minimum altitude over a BS directly pointing at it; if a more realistic scenario would be considered then a</w:t>
      </w:r>
      <w:r w:rsidR="005B34D2">
        <w:rPr>
          <w:lang w:val="en-GB" w:eastAsia="ja-JP"/>
        </w:rPr>
        <w:t>n even</w:t>
      </w:r>
      <w:r>
        <w:rPr>
          <w:lang w:val="en-GB" w:eastAsia="ja-JP"/>
        </w:rPr>
        <w:t xml:space="preserve"> higher UE minimum output power could be considered.</w:t>
      </w:r>
    </w:p>
    <w:p w14:paraId="157C99B0" w14:textId="1A114160" w:rsidR="001A35EC" w:rsidRPr="001A35EC" w:rsidRDefault="001A35EC" w:rsidP="001A35EC">
      <w:pPr>
        <w:pStyle w:val="Proposal"/>
        <w:rPr>
          <w:lang w:val="en-GB"/>
        </w:rPr>
      </w:pPr>
      <w:bookmarkStart w:id="5" w:name="_Toc127552390"/>
      <w:r>
        <w:rPr>
          <w:lang w:val="en-GB"/>
        </w:rPr>
        <w:t>Define UE minimum output power to be no less than -20dBm</w:t>
      </w:r>
      <w:r w:rsidR="002F1589">
        <w:rPr>
          <w:lang w:val="en-GB"/>
        </w:rPr>
        <w:t xml:space="preserve"> summed over all connectors</w:t>
      </w:r>
      <w:r>
        <w:rPr>
          <w:lang w:val="en-GB"/>
        </w:rPr>
        <w:t>.</w:t>
      </w:r>
      <w:bookmarkEnd w:id="5"/>
    </w:p>
    <w:p w14:paraId="5D06FB5C" w14:textId="77777777" w:rsidR="002109F9" w:rsidRDefault="002109F9" w:rsidP="002B1953">
      <w:pPr>
        <w:rPr>
          <w:u w:val="single"/>
          <w:lang w:val="en-GB" w:eastAsia="ja-JP"/>
        </w:rPr>
      </w:pPr>
    </w:p>
    <w:p w14:paraId="24B727C0" w14:textId="2C981BD5" w:rsidR="002B1953" w:rsidRDefault="002B1953" w:rsidP="002B1953">
      <w:pPr>
        <w:rPr>
          <w:u w:val="single"/>
          <w:lang w:val="en-GB" w:eastAsia="ja-JP"/>
        </w:rPr>
      </w:pPr>
      <w:r>
        <w:rPr>
          <w:u w:val="single"/>
          <w:lang w:val="en-GB" w:eastAsia="ja-JP"/>
        </w:rPr>
        <w:t>Transmitter OFF power</w:t>
      </w:r>
    </w:p>
    <w:p w14:paraId="1229F192" w14:textId="2079F5A2" w:rsidR="00931DAB" w:rsidRDefault="00931DAB" w:rsidP="002B1953">
      <w:pPr>
        <w:rPr>
          <w:lang w:val="en-GB" w:eastAsia="ja-JP"/>
        </w:rPr>
      </w:pPr>
      <w:r>
        <w:rPr>
          <w:lang w:val="en-GB" w:eastAsia="ja-JP"/>
        </w:rPr>
        <w:t xml:space="preserve">The </w:t>
      </w:r>
      <w:proofErr w:type="gramStart"/>
      <w:r>
        <w:rPr>
          <w:lang w:val="en-GB" w:eastAsia="ja-JP"/>
        </w:rPr>
        <w:t>OFF power</w:t>
      </w:r>
      <w:proofErr w:type="gramEnd"/>
      <w:r>
        <w:rPr>
          <w:lang w:val="en-GB" w:eastAsia="ja-JP"/>
        </w:rPr>
        <w:t xml:space="preserve"> requirement applies for TDD at 4GHz.</w:t>
      </w:r>
    </w:p>
    <w:p w14:paraId="62708BC0" w14:textId="597FAD58" w:rsidR="001A35EC" w:rsidRDefault="00102F95" w:rsidP="002B1953">
      <w:pPr>
        <w:rPr>
          <w:lang w:val="en-GB" w:eastAsia="ja-JP"/>
        </w:rPr>
      </w:pPr>
      <w:r>
        <w:rPr>
          <w:lang w:val="en-GB" w:eastAsia="ja-JP"/>
        </w:rPr>
        <w:t>The transmitter OFF power is defined to prevent interference between adjacent UEs during DL slots. ATG UEs will never be adjacent; they will be separated by the separation distance of aircraft. Furthermore, they will not point their beams towards each other.</w:t>
      </w:r>
    </w:p>
    <w:p w14:paraId="35B01087" w14:textId="6A6B9888" w:rsidR="00102F95" w:rsidRDefault="00102F95" w:rsidP="002B1953">
      <w:pPr>
        <w:rPr>
          <w:lang w:val="en-GB" w:eastAsia="ja-JP"/>
        </w:rPr>
      </w:pPr>
      <w:r>
        <w:rPr>
          <w:lang w:val="en-GB" w:eastAsia="ja-JP"/>
        </w:rPr>
        <w:t xml:space="preserve">Pathloss at </w:t>
      </w:r>
      <w:r w:rsidR="001974CA">
        <w:rPr>
          <w:lang w:val="en-GB" w:eastAsia="ja-JP"/>
        </w:rPr>
        <w:t>8</w:t>
      </w:r>
      <w:r>
        <w:rPr>
          <w:lang w:val="en-GB" w:eastAsia="ja-JP"/>
        </w:rPr>
        <w:t>km (</w:t>
      </w:r>
      <w:r w:rsidR="001974CA">
        <w:rPr>
          <w:lang w:val="en-GB" w:eastAsia="ja-JP"/>
        </w:rPr>
        <w:t>FAA minimum horizontal separation</w:t>
      </w:r>
      <w:r>
        <w:rPr>
          <w:lang w:val="en-GB" w:eastAsia="ja-JP"/>
        </w:rPr>
        <w:t xml:space="preserve">) is </w:t>
      </w:r>
      <w:r w:rsidR="00736688">
        <w:rPr>
          <w:lang w:val="en-GB" w:eastAsia="ja-JP"/>
        </w:rPr>
        <w:t>122.5</w:t>
      </w:r>
      <w:r>
        <w:rPr>
          <w:lang w:val="en-GB" w:eastAsia="ja-JP"/>
        </w:rPr>
        <w:t>dB. To achieve 10dB RX power lower than a noise floor of -</w:t>
      </w:r>
      <w:r w:rsidR="000115E6">
        <w:rPr>
          <w:lang w:val="en-GB" w:eastAsia="ja-JP"/>
        </w:rPr>
        <w:t>89</w:t>
      </w:r>
      <w:r>
        <w:rPr>
          <w:lang w:val="en-GB" w:eastAsia="ja-JP"/>
        </w:rPr>
        <w:t xml:space="preserve">dBm, the OFF </w:t>
      </w:r>
      <w:r w:rsidR="000115E6">
        <w:rPr>
          <w:lang w:val="en-GB" w:eastAsia="ja-JP"/>
        </w:rPr>
        <w:t>EIRP</w:t>
      </w:r>
      <w:r>
        <w:rPr>
          <w:lang w:val="en-GB" w:eastAsia="ja-JP"/>
        </w:rPr>
        <w:t xml:space="preserve"> would need to be no more than </w:t>
      </w:r>
      <w:r w:rsidR="0069553B">
        <w:rPr>
          <w:lang w:val="en-GB" w:eastAsia="ja-JP"/>
        </w:rPr>
        <w:t>2</w:t>
      </w:r>
      <w:r w:rsidR="00480F6B">
        <w:rPr>
          <w:lang w:val="en-GB" w:eastAsia="ja-JP"/>
        </w:rPr>
        <w:t xml:space="preserve">3.5 </w:t>
      </w:r>
      <w:r>
        <w:rPr>
          <w:lang w:val="en-GB" w:eastAsia="ja-JP"/>
        </w:rPr>
        <w:t>dBm.</w:t>
      </w:r>
      <w:r w:rsidR="00480F6B">
        <w:rPr>
          <w:lang w:val="en-GB" w:eastAsia="ja-JP"/>
        </w:rPr>
        <w:t xml:space="preserve"> Based on the 4GHz UE antenna array assumption used for the co-existence study</w:t>
      </w:r>
      <w:r w:rsidR="002079DB">
        <w:rPr>
          <w:lang w:val="en-GB" w:eastAsia="ja-JP"/>
        </w:rPr>
        <w:t xml:space="preserve"> and assuming an absolute worst case that both the transmitting and receiving antennas are pointing beams directly at one another</w:t>
      </w:r>
      <w:r w:rsidR="0082672A">
        <w:rPr>
          <w:lang w:val="en-GB" w:eastAsia="ja-JP"/>
        </w:rPr>
        <w:t xml:space="preserve"> (which will in reality not happen)</w:t>
      </w:r>
      <w:r w:rsidR="00480F6B">
        <w:rPr>
          <w:lang w:val="en-GB" w:eastAsia="ja-JP"/>
        </w:rPr>
        <w:t xml:space="preserve">, thus equates to a UE TRP OFF power of </w:t>
      </w:r>
      <w:r w:rsidR="0067066A">
        <w:rPr>
          <w:lang w:val="en-GB" w:eastAsia="ja-JP"/>
        </w:rPr>
        <w:t>-</w:t>
      </w:r>
      <w:r w:rsidR="0069553B">
        <w:rPr>
          <w:lang w:val="en-GB" w:eastAsia="ja-JP"/>
        </w:rPr>
        <w:t>1</w:t>
      </w:r>
      <w:r w:rsidR="0067066A">
        <w:rPr>
          <w:lang w:val="en-GB" w:eastAsia="ja-JP"/>
        </w:rPr>
        <w:t>0.5</w:t>
      </w:r>
      <w:proofErr w:type="gramStart"/>
      <w:r w:rsidR="0067066A">
        <w:rPr>
          <w:lang w:val="en-GB" w:eastAsia="ja-JP"/>
        </w:rPr>
        <w:t>dB</w:t>
      </w:r>
      <w:r w:rsidR="0012333E">
        <w:rPr>
          <w:lang w:val="en-GB" w:eastAsia="ja-JP"/>
        </w:rPr>
        <w:t>m</w:t>
      </w:r>
      <w:r w:rsidR="00876A33">
        <w:rPr>
          <w:lang w:val="en-GB" w:eastAsia="ja-JP"/>
        </w:rPr>
        <w:t xml:space="preserve"> </w:t>
      </w:r>
      <w:r w:rsidR="0067066A">
        <w:rPr>
          <w:lang w:val="en-GB" w:eastAsia="ja-JP"/>
        </w:rPr>
        <w:t>.</w:t>
      </w:r>
      <w:proofErr w:type="gramEnd"/>
    </w:p>
    <w:p w14:paraId="253AF279" w14:textId="2CE7AFF3" w:rsidR="00102F95" w:rsidRDefault="00102F95" w:rsidP="002B1953">
      <w:pPr>
        <w:rPr>
          <w:lang w:val="en-GB" w:eastAsia="ja-JP"/>
        </w:rPr>
      </w:pPr>
      <w:r>
        <w:rPr>
          <w:lang w:val="en-GB" w:eastAsia="ja-JP"/>
        </w:rPr>
        <w:t>Clearly</w:t>
      </w:r>
      <w:r w:rsidR="0067066A">
        <w:rPr>
          <w:lang w:val="en-GB" w:eastAsia="ja-JP"/>
        </w:rPr>
        <w:t>, even in this extreme worst case,</w:t>
      </w:r>
      <w:r>
        <w:rPr>
          <w:lang w:val="en-GB" w:eastAsia="ja-JP"/>
        </w:rPr>
        <w:t xml:space="preserve"> the OFF power can be relaxed significantly compared to the terrestrial requirement. To add some margin, we propose the OFF power should be the same as the minimum </w:t>
      </w:r>
      <w:proofErr w:type="gramStart"/>
      <w:r>
        <w:rPr>
          <w:lang w:val="en-GB" w:eastAsia="ja-JP"/>
        </w:rPr>
        <w:t>power;</w:t>
      </w:r>
      <w:proofErr w:type="gramEnd"/>
      <w:r>
        <w:rPr>
          <w:lang w:val="en-GB" w:eastAsia="ja-JP"/>
        </w:rPr>
        <w:t xml:space="preserve"> i.e., -20dBm.</w:t>
      </w:r>
    </w:p>
    <w:p w14:paraId="760EED8A" w14:textId="51EDF64D" w:rsidR="00102F95" w:rsidRDefault="00102F95" w:rsidP="00102F95">
      <w:pPr>
        <w:pStyle w:val="Proposal"/>
        <w:rPr>
          <w:lang w:val="en-GB"/>
        </w:rPr>
      </w:pPr>
      <w:bookmarkStart w:id="6" w:name="_Toc127552391"/>
      <w:r>
        <w:rPr>
          <w:lang w:val="en-GB"/>
        </w:rPr>
        <w:t>OFF power is -20dBm</w:t>
      </w:r>
      <w:r w:rsidR="00931DAB">
        <w:rPr>
          <w:lang w:val="en-GB"/>
        </w:rPr>
        <w:t xml:space="preserve"> (or the UE minimum power)</w:t>
      </w:r>
      <w:r w:rsidR="002F1589">
        <w:rPr>
          <w:lang w:val="en-GB"/>
        </w:rPr>
        <w:t xml:space="preserve"> summed over all connectors</w:t>
      </w:r>
      <w:r>
        <w:rPr>
          <w:lang w:val="en-GB"/>
        </w:rPr>
        <w:t>.</w:t>
      </w:r>
      <w:bookmarkEnd w:id="6"/>
    </w:p>
    <w:p w14:paraId="6C8DF175" w14:textId="77777777" w:rsidR="00102F95" w:rsidRPr="001A35EC" w:rsidRDefault="00102F95" w:rsidP="00102F95">
      <w:pPr>
        <w:pStyle w:val="Proposal"/>
        <w:numPr>
          <w:ilvl w:val="0"/>
          <w:numId w:val="0"/>
        </w:numPr>
        <w:rPr>
          <w:lang w:val="en-GB"/>
        </w:rPr>
      </w:pPr>
    </w:p>
    <w:p w14:paraId="2FB62F8E" w14:textId="1C750872" w:rsidR="002B1953" w:rsidRDefault="002B1953" w:rsidP="002B1953">
      <w:pPr>
        <w:rPr>
          <w:u w:val="single"/>
          <w:lang w:val="en-GB" w:eastAsia="ja-JP"/>
        </w:rPr>
      </w:pPr>
      <w:r>
        <w:rPr>
          <w:u w:val="single"/>
          <w:lang w:val="en-GB" w:eastAsia="ja-JP"/>
        </w:rPr>
        <w:t>Transient time</w:t>
      </w:r>
    </w:p>
    <w:p w14:paraId="50D1C977" w14:textId="1468AF23" w:rsidR="00102F95" w:rsidRDefault="00102F95" w:rsidP="002B1953">
      <w:pPr>
        <w:rPr>
          <w:lang w:val="en-GB" w:eastAsia="ja-JP"/>
        </w:rPr>
      </w:pPr>
      <w:r>
        <w:rPr>
          <w:lang w:val="en-GB" w:eastAsia="ja-JP"/>
        </w:rPr>
        <w:t>The TDD transient time should be aligned with the TN transient time for convenience.</w:t>
      </w:r>
    </w:p>
    <w:p w14:paraId="0F139F32" w14:textId="79B779F3" w:rsidR="00102F95" w:rsidRPr="00102F95" w:rsidRDefault="00102F95" w:rsidP="00102F95">
      <w:pPr>
        <w:pStyle w:val="Proposal"/>
        <w:rPr>
          <w:lang w:val="en-GB"/>
        </w:rPr>
      </w:pPr>
      <w:bookmarkStart w:id="7" w:name="_Toc127552392"/>
      <w:r>
        <w:rPr>
          <w:lang w:val="en-GB"/>
        </w:rPr>
        <w:t>TDD transient time is the same as in the TN specifications</w:t>
      </w:r>
      <w:bookmarkEnd w:id="7"/>
    </w:p>
    <w:p w14:paraId="52647007" w14:textId="77777777" w:rsidR="00102F95" w:rsidRDefault="00102F95" w:rsidP="002B1953">
      <w:pPr>
        <w:rPr>
          <w:u w:val="single"/>
          <w:lang w:val="en-GB" w:eastAsia="ja-JP"/>
        </w:rPr>
      </w:pPr>
    </w:p>
    <w:p w14:paraId="58D31C1A" w14:textId="0ECE6853" w:rsidR="002B1953" w:rsidRDefault="002B1953" w:rsidP="002B1953">
      <w:pPr>
        <w:rPr>
          <w:u w:val="single"/>
          <w:lang w:val="en-GB" w:eastAsia="ja-JP"/>
        </w:rPr>
      </w:pPr>
      <w:r>
        <w:rPr>
          <w:u w:val="single"/>
          <w:lang w:val="en-GB" w:eastAsia="ja-JP"/>
        </w:rPr>
        <w:t>Power control absolute and relative tolerance</w:t>
      </w:r>
    </w:p>
    <w:p w14:paraId="1F84F42C" w14:textId="487BADD8" w:rsidR="00102F95" w:rsidRDefault="00102F95" w:rsidP="002B1953">
      <w:pPr>
        <w:rPr>
          <w:lang w:val="en-GB" w:eastAsia="ja-JP"/>
        </w:rPr>
      </w:pPr>
      <w:r>
        <w:rPr>
          <w:lang w:val="en-GB" w:eastAsia="ja-JP"/>
        </w:rPr>
        <w:t>It is not obvious how accurate the power control needs to be for ATG, nor whether the avionics UE design poses any constraints on power control accuracy. Provisionally, the same requirements as TN could be assumed.</w:t>
      </w:r>
    </w:p>
    <w:p w14:paraId="4BC91F18" w14:textId="6C40AB31" w:rsidR="00670EF7" w:rsidRPr="00102F95" w:rsidRDefault="00670EF7" w:rsidP="00670EF7">
      <w:pPr>
        <w:pStyle w:val="Observation"/>
        <w:rPr>
          <w:lang w:val="en-GB"/>
        </w:rPr>
      </w:pPr>
      <w:bookmarkStart w:id="8" w:name="_Toc127552381"/>
      <w:r>
        <w:rPr>
          <w:lang w:val="en-GB"/>
        </w:rPr>
        <w:t>Further analysis is needed on the power control accuracy requirement. Provisionally the requirements could be the same as for a TN UE.</w:t>
      </w:r>
      <w:bookmarkEnd w:id="8"/>
    </w:p>
    <w:p w14:paraId="44A192D2" w14:textId="77777777" w:rsidR="00102F95" w:rsidRDefault="00102F95" w:rsidP="002B1953">
      <w:pPr>
        <w:rPr>
          <w:u w:val="single"/>
          <w:lang w:val="en-GB" w:eastAsia="ja-JP"/>
        </w:rPr>
      </w:pPr>
    </w:p>
    <w:p w14:paraId="7668A44F" w14:textId="085376D2" w:rsidR="002B1953" w:rsidRDefault="00BF70FC" w:rsidP="002B1953">
      <w:pPr>
        <w:rPr>
          <w:u w:val="single"/>
          <w:lang w:val="en-GB" w:eastAsia="ja-JP"/>
        </w:rPr>
      </w:pPr>
      <w:r>
        <w:rPr>
          <w:u w:val="single"/>
          <w:lang w:val="en-GB" w:eastAsia="ja-JP"/>
        </w:rPr>
        <w:t>Frequency error</w:t>
      </w:r>
    </w:p>
    <w:p w14:paraId="0501FA69" w14:textId="51D61C33" w:rsidR="00102F95" w:rsidRDefault="008A6FE3" w:rsidP="002B1953">
      <w:pPr>
        <w:rPr>
          <w:lang w:val="en-GB" w:eastAsia="ja-JP"/>
        </w:rPr>
      </w:pPr>
      <w:r>
        <w:rPr>
          <w:lang w:val="en-GB" w:eastAsia="ja-JP"/>
        </w:rPr>
        <w:t>To ensure proper operation of the BS demodulation algorithms, we propose that the requirement of 0.1ppm is used.</w:t>
      </w:r>
    </w:p>
    <w:p w14:paraId="1E04B948" w14:textId="54327738" w:rsidR="008A6FE3" w:rsidRPr="008A6FE3" w:rsidRDefault="008A6FE3" w:rsidP="008A6FE3">
      <w:pPr>
        <w:pStyle w:val="Proposal"/>
        <w:rPr>
          <w:lang w:val="en-GB"/>
        </w:rPr>
      </w:pPr>
      <w:bookmarkStart w:id="9" w:name="_Toc127552393"/>
      <w:r>
        <w:rPr>
          <w:lang w:val="en-GB"/>
        </w:rPr>
        <w:t>Frequency error requirement is 0.1ppm.</w:t>
      </w:r>
      <w:bookmarkEnd w:id="9"/>
    </w:p>
    <w:p w14:paraId="147D202E" w14:textId="77777777" w:rsidR="00102F95" w:rsidRDefault="00102F95" w:rsidP="002B1953">
      <w:pPr>
        <w:rPr>
          <w:u w:val="single"/>
          <w:lang w:val="en-GB" w:eastAsia="ja-JP"/>
        </w:rPr>
      </w:pPr>
    </w:p>
    <w:p w14:paraId="3FD26564" w14:textId="2F1470CB" w:rsidR="00BF70FC" w:rsidRDefault="00BF70FC" w:rsidP="002B1953">
      <w:pPr>
        <w:rPr>
          <w:u w:val="single"/>
          <w:lang w:val="en-GB" w:eastAsia="ja-JP"/>
        </w:rPr>
      </w:pPr>
      <w:r>
        <w:rPr>
          <w:u w:val="single"/>
          <w:lang w:val="en-GB" w:eastAsia="ja-JP"/>
        </w:rPr>
        <w:lastRenderedPageBreak/>
        <w:t>EVM</w:t>
      </w:r>
    </w:p>
    <w:p w14:paraId="3E37E03B" w14:textId="07F466D3" w:rsidR="008A6FE3" w:rsidRDefault="008A6FE3" w:rsidP="002B1953">
      <w:pPr>
        <w:rPr>
          <w:lang w:val="en-GB" w:eastAsia="ja-JP"/>
        </w:rPr>
      </w:pPr>
      <w:r>
        <w:rPr>
          <w:lang w:val="en-GB" w:eastAsia="ja-JP"/>
        </w:rPr>
        <w:t>Although the TX capabilities of an avionics UE are not clear, from a link perspective it seems reasonable to set the same EVM requirements as for the TN UE.</w:t>
      </w:r>
    </w:p>
    <w:p w14:paraId="46194F0B" w14:textId="53AB7E6C" w:rsidR="00670EF7" w:rsidRPr="008A6FE3" w:rsidRDefault="00670EF7" w:rsidP="00670EF7">
      <w:pPr>
        <w:pStyle w:val="Proposal"/>
        <w:rPr>
          <w:lang w:val="en-GB"/>
        </w:rPr>
      </w:pPr>
      <w:bookmarkStart w:id="10" w:name="_Toc127552394"/>
      <w:r>
        <w:rPr>
          <w:lang w:val="en-GB"/>
        </w:rPr>
        <w:t>EVM requirements can be the same as TN UE.</w:t>
      </w:r>
      <w:bookmarkEnd w:id="10"/>
    </w:p>
    <w:p w14:paraId="649A3ACE" w14:textId="14367F08" w:rsidR="008A6FE3" w:rsidRDefault="008A6FE3" w:rsidP="002B1953">
      <w:pPr>
        <w:rPr>
          <w:u w:val="single"/>
          <w:lang w:val="en-GB" w:eastAsia="ja-JP"/>
        </w:rPr>
      </w:pPr>
    </w:p>
    <w:p w14:paraId="09B4141A" w14:textId="3EB0E4F6" w:rsidR="008A6FE3" w:rsidRDefault="008A6FE3" w:rsidP="002B1953">
      <w:pPr>
        <w:rPr>
          <w:u w:val="single"/>
          <w:lang w:val="en-GB" w:eastAsia="ja-JP"/>
        </w:rPr>
      </w:pPr>
      <w:r>
        <w:rPr>
          <w:u w:val="single"/>
          <w:lang w:val="en-GB" w:eastAsia="ja-JP"/>
        </w:rPr>
        <w:t>Carrier leakage and in-band emissions</w:t>
      </w:r>
    </w:p>
    <w:p w14:paraId="234C927A" w14:textId="40256AE9" w:rsidR="008A6FE3" w:rsidRDefault="00A136F6" w:rsidP="002B1953">
      <w:pPr>
        <w:rPr>
          <w:lang w:val="en-GB" w:eastAsia="ja-JP"/>
        </w:rPr>
      </w:pPr>
      <w:r>
        <w:rPr>
          <w:lang w:val="en-GB" w:eastAsia="ja-JP"/>
        </w:rPr>
        <w:t xml:space="preserve">The in-band emissions regulate </w:t>
      </w:r>
      <w:r w:rsidR="00CF1904">
        <w:rPr>
          <w:lang w:val="en-GB" w:eastAsia="ja-JP"/>
        </w:rPr>
        <w:t xml:space="preserve">leakage from a UE into other parts of the carrier when it has a partial UL allocation. The level of the in-band emissions requirement depends on </w:t>
      </w:r>
      <w:proofErr w:type="gramStart"/>
      <w:r w:rsidR="00CF1904">
        <w:rPr>
          <w:lang w:val="en-GB" w:eastAsia="ja-JP"/>
        </w:rPr>
        <w:t>a number of</w:t>
      </w:r>
      <w:proofErr w:type="gramEnd"/>
      <w:r w:rsidR="00CF1904">
        <w:rPr>
          <w:lang w:val="en-GB" w:eastAsia="ja-JP"/>
        </w:rPr>
        <w:t xml:space="preserve"> factors including the type of emissions, </w:t>
      </w:r>
      <w:r w:rsidR="00BE7978">
        <w:rPr>
          <w:lang w:val="en-GB" w:eastAsia="ja-JP"/>
        </w:rPr>
        <w:t xml:space="preserve">the </w:t>
      </w:r>
      <w:r w:rsidR="00436DA3">
        <w:rPr>
          <w:lang w:val="en-GB" w:eastAsia="ja-JP"/>
        </w:rPr>
        <w:t>distance of an unallocated RB from the allocation in frequencies, the number of allocated RBs, the EVM etc.</w:t>
      </w:r>
    </w:p>
    <w:p w14:paraId="76833DCA" w14:textId="179838C3" w:rsidR="00616B35" w:rsidRDefault="006F4142" w:rsidP="002B1953">
      <w:pPr>
        <w:rPr>
          <w:lang w:val="en-GB" w:eastAsia="ja-JP"/>
        </w:rPr>
      </w:pPr>
      <w:r>
        <w:rPr>
          <w:lang w:val="en-GB" w:eastAsia="ja-JP"/>
        </w:rPr>
        <w:t>For the general IBE, t</w:t>
      </w:r>
      <w:r w:rsidR="00A405FE">
        <w:rPr>
          <w:lang w:val="en-GB" w:eastAsia="ja-JP"/>
        </w:rPr>
        <w:t xml:space="preserve">he existing requirements are stated in terms of an allowed </w:t>
      </w:r>
      <w:r>
        <w:rPr>
          <w:lang w:val="en-GB" w:eastAsia="ja-JP"/>
        </w:rPr>
        <w:t xml:space="preserve">limit on emissions per unused RB. The limit depends </w:t>
      </w:r>
      <w:r w:rsidR="00227AF2">
        <w:rPr>
          <w:lang w:val="en-GB" w:eastAsia="ja-JP"/>
        </w:rPr>
        <w:t xml:space="preserve">in some circumstances on the distance in frequency of the unused RB from the allocation. Figure 1 depicts the relative emissions limit of power per RB </w:t>
      </w:r>
      <w:r w:rsidR="005856D4">
        <w:rPr>
          <w:lang w:val="en-GB" w:eastAsia="ja-JP"/>
        </w:rPr>
        <w:t xml:space="preserve">in the wanted allocation to power in the first unused RB, assuming an EVM of 256QAM. It is assumed that a 100MHz carrier is available, and the x axis depicts </w:t>
      </w:r>
      <w:r w:rsidR="005B28DC">
        <w:rPr>
          <w:lang w:val="en-GB" w:eastAsia="ja-JP"/>
        </w:rPr>
        <w:t xml:space="preserve">the number of MHz allocated to the </w:t>
      </w:r>
      <w:r w:rsidR="007E072A">
        <w:rPr>
          <w:lang w:val="en-GB" w:eastAsia="ja-JP"/>
        </w:rPr>
        <w:t xml:space="preserve">transmitting </w:t>
      </w:r>
      <w:r w:rsidR="005B28DC">
        <w:rPr>
          <w:lang w:val="en-GB" w:eastAsia="ja-JP"/>
        </w:rPr>
        <w:t>UE</w:t>
      </w:r>
      <w:r w:rsidR="007E072A">
        <w:rPr>
          <w:lang w:val="en-GB" w:eastAsia="ja-JP"/>
        </w:rPr>
        <w:t>, whilst the y</w:t>
      </w:r>
      <w:r w:rsidR="00B3724C">
        <w:rPr>
          <w:lang w:val="en-GB" w:eastAsia="ja-JP"/>
        </w:rPr>
        <w:t xml:space="preserve"> axis indicates the power in the first unallocated RB</w:t>
      </w:r>
      <w:r w:rsidR="005B28DC">
        <w:rPr>
          <w:lang w:val="en-GB" w:eastAsia="ja-JP"/>
        </w:rPr>
        <w:t>. For small allocations, the EVM based part of the general IBE dominates, whereas for more than around 20MHz allocation, the IBE general limit dominates.</w:t>
      </w:r>
      <w:r w:rsidR="00E0063C">
        <w:rPr>
          <w:lang w:val="en-GB" w:eastAsia="ja-JP"/>
        </w:rPr>
        <w:t xml:space="preserve"> </w:t>
      </w:r>
      <w:r w:rsidR="006B2EBE">
        <w:rPr>
          <w:lang w:val="en-GB" w:eastAsia="ja-JP"/>
        </w:rPr>
        <w:t>If more than 30MHz is allocated</w:t>
      </w:r>
      <w:r w:rsidR="00E0063C">
        <w:rPr>
          <w:lang w:val="en-GB" w:eastAsia="ja-JP"/>
        </w:rPr>
        <w:t>, the per IBE ratio is less stringent for the first RB than the ACLR for the adjacent channel.</w:t>
      </w:r>
    </w:p>
    <w:p w14:paraId="01DE79FC" w14:textId="4EFA5ED6" w:rsidR="00E0063C" w:rsidRDefault="00E0063C" w:rsidP="002B1953">
      <w:pPr>
        <w:rPr>
          <w:lang w:val="en-GB" w:eastAsia="ja-JP"/>
        </w:rPr>
      </w:pPr>
    </w:p>
    <w:p w14:paraId="4A865CA1" w14:textId="77777777" w:rsidR="000D2BD2" w:rsidRDefault="000D2BD2" w:rsidP="002B1953">
      <w:pPr>
        <w:rPr>
          <w:noProof/>
          <w:lang w:val="en-GB" w:eastAsia="ja-JP"/>
        </w:rPr>
      </w:pPr>
    </w:p>
    <w:p w14:paraId="76150A9D" w14:textId="3BD737D9" w:rsidR="00E0063C" w:rsidRDefault="000336EB" w:rsidP="002B1953">
      <w:pPr>
        <w:rPr>
          <w:lang w:val="en-GB" w:eastAsia="ja-JP"/>
        </w:rPr>
      </w:pPr>
      <w:r w:rsidRPr="000336EB">
        <w:rPr>
          <w:noProof/>
          <w:lang w:val="en-GB" w:eastAsia="ja-JP"/>
        </w:rPr>
        <w:drawing>
          <wp:inline distT="0" distB="0" distL="0" distR="0" wp14:anchorId="7D4F7B68" wp14:editId="4780FCEA">
            <wp:extent cx="4476750" cy="3393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30301" b="29499"/>
                    <a:stretch/>
                  </pic:blipFill>
                  <pic:spPr bwMode="auto">
                    <a:xfrm>
                      <a:off x="0" y="0"/>
                      <a:ext cx="4479270" cy="3395755"/>
                    </a:xfrm>
                    <a:prstGeom prst="rect">
                      <a:avLst/>
                    </a:prstGeom>
                    <a:noFill/>
                    <a:ln>
                      <a:noFill/>
                    </a:ln>
                    <a:extLst>
                      <a:ext uri="{53640926-AAD7-44D8-BBD7-CCE9431645EC}">
                        <a14:shadowObscured xmlns:a14="http://schemas.microsoft.com/office/drawing/2010/main"/>
                      </a:ext>
                    </a:extLst>
                  </pic:spPr>
                </pic:pic>
              </a:graphicData>
            </a:graphic>
          </wp:inline>
        </w:drawing>
      </w:r>
    </w:p>
    <w:p w14:paraId="08319D90" w14:textId="4942B75D" w:rsidR="001D1757" w:rsidRDefault="001D1757" w:rsidP="00B316E1">
      <w:pPr>
        <w:pStyle w:val="Caption"/>
        <w:rPr>
          <w:lang w:val="en-GB" w:eastAsia="ja-JP"/>
        </w:rPr>
      </w:pPr>
      <w:r>
        <w:t xml:space="preserve">Figure </w:t>
      </w:r>
      <w:r>
        <w:fldChar w:fldCharType="begin"/>
      </w:r>
      <w:r>
        <w:instrText xml:space="preserve"> SEQ Figure \* ARABIC </w:instrText>
      </w:r>
      <w:r>
        <w:fldChar w:fldCharType="separate"/>
      </w:r>
      <w:r w:rsidR="00C41B84">
        <w:rPr>
          <w:noProof/>
        </w:rPr>
        <w:t>1</w:t>
      </w:r>
      <w:r>
        <w:fldChar w:fldCharType="end"/>
      </w:r>
      <w:r>
        <w:t>: IBE limit for the first unallocated</w:t>
      </w:r>
      <w:r>
        <w:rPr>
          <w:noProof/>
        </w:rPr>
        <w:t xml:space="preserve"> RB</w:t>
      </w:r>
      <w:r w:rsidR="00CB0836">
        <w:rPr>
          <w:noProof/>
        </w:rPr>
        <w:t xml:space="preserve"> (assuming EVM of 256QAM) </w:t>
      </w:r>
    </w:p>
    <w:p w14:paraId="75E2FE93" w14:textId="204D558D" w:rsidR="00E0063C" w:rsidRDefault="00E0063C" w:rsidP="002B1953">
      <w:pPr>
        <w:rPr>
          <w:lang w:val="en-GB" w:eastAsia="ja-JP"/>
        </w:rPr>
      </w:pPr>
    </w:p>
    <w:p w14:paraId="51D7B759" w14:textId="4DA25E64" w:rsidR="00E0063C" w:rsidRDefault="00E0063C" w:rsidP="002B1953">
      <w:pPr>
        <w:rPr>
          <w:lang w:val="en-GB" w:eastAsia="ja-JP"/>
        </w:rPr>
      </w:pPr>
      <w:r>
        <w:rPr>
          <w:lang w:val="en-GB" w:eastAsia="ja-JP"/>
        </w:rPr>
        <w:t xml:space="preserve">The limit per RB </w:t>
      </w:r>
      <w:r w:rsidR="00C33945">
        <w:rPr>
          <w:lang w:val="en-GB" w:eastAsia="ja-JP"/>
        </w:rPr>
        <w:t xml:space="preserve">for the EVM limit </w:t>
      </w:r>
      <w:r w:rsidR="001F256A">
        <w:rPr>
          <w:lang w:val="en-GB" w:eastAsia="ja-JP"/>
        </w:rPr>
        <w:t>decreases for RBs further from the allocation. Figure 2 depicts the average limit per unused RB</w:t>
      </w:r>
      <w:r w:rsidR="00722F96">
        <w:rPr>
          <w:lang w:val="en-GB" w:eastAsia="ja-JP"/>
        </w:rPr>
        <w:t xml:space="preserve"> on the y axis</w:t>
      </w:r>
      <w:r w:rsidR="00DC5B19">
        <w:rPr>
          <w:lang w:val="en-GB" w:eastAsia="ja-JP"/>
        </w:rPr>
        <w:t xml:space="preserve">, instead of the limit in the first RB (figure 1). </w:t>
      </w:r>
      <w:proofErr w:type="gramStart"/>
      <w:r w:rsidR="00DC5B19">
        <w:rPr>
          <w:lang w:val="en-GB" w:eastAsia="ja-JP"/>
        </w:rPr>
        <w:t>It can be seen that for</w:t>
      </w:r>
      <w:proofErr w:type="gramEnd"/>
      <w:r w:rsidR="00DC5B19">
        <w:rPr>
          <w:lang w:val="en-GB" w:eastAsia="ja-JP"/>
        </w:rPr>
        <w:t xml:space="preserve"> small allocations, the limit becomes stringent.</w:t>
      </w:r>
    </w:p>
    <w:p w14:paraId="4031C9BD" w14:textId="51153518" w:rsidR="00DC5B19" w:rsidRDefault="00DC5B19" w:rsidP="002B1953">
      <w:pPr>
        <w:rPr>
          <w:lang w:val="en-GB" w:eastAsia="ja-JP"/>
        </w:rPr>
      </w:pPr>
    </w:p>
    <w:p w14:paraId="35A2C6F7" w14:textId="25601672" w:rsidR="00DC5B19" w:rsidRDefault="00DC5B19" w:rsidP="002B1953">
      <w:pPr>
        <w:rPr>
          <w:lang w:val="en-GB" w:eastAsia="ja-JP"/>
        </w:rPr>
      </w:pPr>
    </w:p>
    <w:p w14:paraId="4BAABA14" w14:textId="37A99AB4" w:rsidR="00DC5B19" w:rsidRDefault="00595938" w:rsidP="002B1953">
      <w:pPr>
        <w:rPr>
          <w:lang w:val="en-GB" w:eastAsia="ja-JP"/>
        </w:rPr>
      </w:pPr>
      <w:r w:rsidRPr="00595938">
        <w:rPr>
          <w:noProof/>
          <w:lang w:val="en-GB" w:eastAsia="ja-JP"/>
        </w:rPr>
        <w:drawing>
          <wp:inline distT="0" distB="0" distL="0" distR="0" wp14:anchorId="2774F38C" wp14:editId="1DACFCA2">
            <wp:extent cx="4791075" cy="3926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30649" b="24165"/>
                    <a:stretch/>
                  </pic:blipFill>
                  <pic:spPr bwMode="auto">
                    <a:xfrm>
                      <a:off x="0" y="0"/>
                      <a:ext cx="4795511" cy="3930155"/>
                    </a:xfrm>
                    <a:prstGeom prst="rect">
                      <a:avLst/>
                    </a:prstGeom>
                    <a:noFill/>
                    <a:ln>
                      <a:noFill/>
                    </a:ln>
                    <a:extLst>
                      <a:ext uri="{53640926-AAD7-44D8-BBD7-CCE9431645EC}">
                        <a14:shadowObscured xmlns:a14="http://schemas.microsoft.com/office/drawing/2010/main"/>
                      </a:ext>
                    </a:extLst>
                  </pic:spPr>
                </pic:pic>
              </a:graphicData>
            </a:graphic>
          </wp:inline>
        </w:drawing>
      </w:r>
    </w:p>
    <w:p w14:paraId="066A7624" w14:textId="358096BA" w:rsidR="00C17C54" w:rsidRDefault="0071001C" w:rsidP="0071001C">
      <w:pPr>
        <w:pStyle w:val="Caption"/>
      </w:pPr>
      <w:r>
        <w:t xml:space="preserve">Figure </w:t>
      </w:r>
      <w:r>
        <w:fldChar w:fldCharType="begin"/>
      </w:r>
      <w:r>
        <w:instrText xml:space="preserve"> SEQ Figure \* ARABIC </w:instrText>
      </w:r>
      <w:r>
        <w:fldChar w:fldCharType="separate"/>
      </w:r>
      <w:r w:rsidR="00C41B84">
        <w:rPr>
          <w:noProof/>
        </w:rPr>
        <w:t>2</w:t>
      </w:r>
      <w:r>
        <w:fldChar w:fldCharType="end"/>
      </w:r>
      <w:r>
        <w:t>: Average IBE limit per RB</w:t>
      </w:r>
    </w:p>
    <w:p w14:paraId="41F162F3" w14:textId="77777777" w:rsidR="0071001C" w:rsidRPr="00B316E1" w:rsidRDefault="0071001C" w:rsidP="0071001C">
      <w:pPr>
        <w:rPr>
          <w:lang w:eastAsia="en-GB"/>
        </w:rPr>
      </w:pPr>
    </w:p>
    <w:p w14:paraId="09EF9ADF" w14:textId="6F757168" w:rsidR="0055515E" w:rsidRDefault="005D301B" w:rsidP="002B1953">
      <w:pPr>
        <w:rPr>
          <w:lang w:val="en-GB" w:eastAsia="ja-JP"/>
        </w:rPr>
      </w:pPr>
      <w:r>
        <w:rPr>
          <w:lang w:val="en-GB" w:eastAsia="ja-JP"/>
        </w:rPr>
        <w:t xml:space="preserve">For small allocations, </w:t>
      </w:r>
      <w:r w:rsidR="00902CAE">
        <w:rPr>
          <w:lang w:val="en-GB" w:eastAsia="ja-JP"/>
        </w:rPr>
        <w:t xml:space="preserve">if the UE output power is scaled down then a third, </w:t>
      </w:r>
      <w:proofErr w:type="gramStart"/>
      <w:r w:rsidR="00902CAE">
        <w:rPr>
          <w:lang w:val="en-GB" w:eastAsia="ja-JP"/>
        </w:rPr>
        <w:t>power based</w:t>
      </w:r>
      <w:proofErr w:type="gramEnd"/>
      <w:r w:rsidR="00902CAE">
        <w:rPr>
          <w:lang w:val="en-GB" w:eastAsia="ja-JP"/>
        </w:rPr>
        <w:t xml:space="preserve"> component of the general IBE becomes dominant which limits the amount of suppression needed. If the UE transmits with a few RB at full </w:t>
      </w:r>
      <w:proofErr w:type="gramStart"/>
      <w:r w:rsidR="00902CAE">
        <w:rPr>
          <w:lang w:val="en-GB" w:eastAsia="ja-JP"/>
        </w:rPr>
        <w:t>power</w:t>
      </w:r>
      <w:proofErr w:type="gramEnd"/>
      <w:r w:rsidR="00902CAE">
        <w:rPr>
          <w:lang w:val="en-GB" w:eastAsia="ja-JP"/>
        </w:rPr>
        <w:t xml:space="preserve"> then significant suppression of IBE is needed.</w:t>
      </w:r>
    </w:p>
    <w:p w14:paraId="078C829E" w14:textId="02E25C5C" w:rsidR="00EB4258" w:rsidRDefault="00EB4258" w:rsidP="00EB4258">
      <w:pPr>
        <w:pStyle w:val="Observation"/>
        <w:rPr>
          <w:lang w:val="en-GB"/>
        </w:rPr>
      </w:pPr>
      <w:bookmarkStart w:id="11" w:name="_Toc127552382"/>
      <w:r>
        <w:rPr>
          <w:lang w:val="en-GB"/>
        </w:rPr>
        <w:t>IBE becomes relatively stringent if the UE is allocated a low number of RB with full power. FFS whether this is a relevant scenario.</w:t>
      </w:r>
      <w:bookmarkEnd w:id="11"/>
    </w:p>
    <w:p w14:paraId="488A2CF6" w14:textId="491ADAA7" w:rsidR="004618D2" w:rsidRDefault="004618D2" w:rsidP="002B1953">
      <w:pPr>
        <w:rPr>
          <w:lang w:val="en-GB" w:eastAsia="ja-JP"/>
        </w:rPr>
      </w:pPr>
      <w:r>
        <w:rPr>
          <w:lang w:val="en-GB" w:eastAsia="ja-JP"/>
        </w:rPr>
        <w:t xml:space="preserve">Co-existence studies are ongoing to </w:t>
      </w:r>
      <w:r w:rsidR="00515B0A">
        <w:rPr>
          <w:lang w:val="en-GB" w:eastAsia="ja-JP"/>
        </w:rPr>
        <w:t xml:space="preserve">establish </w:t>
      </w:r>
      <w:r w:rsidR="00DC5B19">
        <w:rPr>
          <w:lang w:val="en-GB" w:eastAsia="ja-JP"/>
        </w:rPr>
        <w:t xml:space="preserve">the </w:t>
      </w:r>
      <w:r w:rsidR="002A291B">
        <w:rPr>
          <w:lang w:val="en-GB" w:eastAsia="ja-JP"/>
        </w:rPr>
        <w:t xml:space="preserve">needed ACLR for an ATG UE. Initial indications are that the ACLR could be relaxed compared to a TN UE, since an ATG is far from the BS of other networks, </w:t>
      </w:r>
      <w:proofErr w:type="gramStart"/>
      <w:r w:rsidR="002A291B">
        <w:rPr>
          <w:lang w:val="en-GB" w:eastAsia="ja-JP"/>
        </w:rPr>
        <w:t>and also</w:t>
      </w:r>
      <w:proofErr w:type="gramEnd"/>
      <w:r w:rsidR="002A291B">
        <w:rPr>
          <w:lang w:val="en-GB" w:eastAsia="ja-JP"/>
        </w:rPr>
        <w:t xml:space="preserve"> the victim BS</w:t>
      </w:r>
      <w:r w:rsidR="00EE50A5">
        <w:rPr>
          <w:lang w:val="en-GB" w:eastAsia="ja-JP"/>
        </w:rPr>
        <w:t>s</w:t>
      </w:r>
      <w:r w:rsidR="002A291B">
        <w:rPr>
          <w:lang w:val="en-GB" w:eastAsia="ja-JP"/>
        </w:rPr>
        <w:t xml:space="preserve"> </w:t>
      </w:r>
      <w:r w:rsidR="00EE50A5">
        <w:rPr>
          <w:lang w:val="en-GB" w:eastAsia="ja-JP"/>
        </w:rPr>
        <w:t xml:space="preserve">do </w:t>
      </w:r>
      <w:r w:rsidR="002A291B">
        <w:rPr>
          <w:lang w:val="en-GB" w:eastAsia="ja-JP"/>
        </w:rPr>
        <w:t>not point their antennas towards the ATG UE.</w:t>
      </w:r>
      <w:r w:rsidR="00606C35">
        <w:rPr>
          <w:lang w:val="en-GB" w:eastAsia="ja-JP"/>
        </w:rPr>
        <w:t xml:space="preserve"> For IBE, the interference is towards the BS serving the ATG. In this case, the BS will be pointing its antenna towards the ATG</w:t>
      </w:r>
      <w:r w:rsidR="00C626A1">
        <w:rPr>
          <w:lang w:val="en-GB" w:eastAsia="ja-JP"/>
        </w:rPr>
        <w:t xml:space="preserve"> UE</w:t>
      </w:r>
      <w:r w:rsidR="00606C35">
        <w:rPr>
          <w:lang w:val="en-GB" w:eastAsia="ja-JP"/>
        </w:rPr>
        <w:t xml:space="preserve"> and the ATG UE towards the BS. Less relaxation of IBE may be expected compared to ACLR.</w:t>
      </w:r>
    </w:p>
    <w:p w14:paraId="412936A0" w14:textId="6FB53492" w:rsidR="00ED462A" w:rsidRDefault="00ED462A" w:rsidP="002B1953">
      <w:pPr>
        <w:rPr>
          <w:lang w:val="en-GB" w:eastAsia="ja-JP"/>
        </w:rPr>
      </w:pPr>
      <w:r>
        <w:rPr>
          <w:lang w:val="en-GB" w:eastAsia="ja-JP"/>
        </w:rPr>
        <w:t>The needed IBE limits could be determined by simulation</w:t>
      </w:r>
      <w:r w:rsidR="000D3DDE">
        <w:rPr>
          <w:lang w:val="en-GB" w:eastAsia="ja-JP"/>
        </w:rPr>
        <w:t xml:space="preserve">. If the victim BS is an AAS BS, then it may not be pointing its RX beam towards the ATG UE </w:t>
      </w:r>
      <w:r w:rsidR="002A52F7">
        <w:rPr>
          <w:lang w:val="en-GB" w:eastAsia="ja-JP"/>
        </w:rPr>
        <w:t>for unused RBs and so there may be scope for some level of relaxation.</w:t>
      </w:r>
    </w:p>
    <w:p w14:paraId="4AA0E31E" w14:textId="4C23149C" w:rsidR="00566E75" w:rsidRPr="00566E75" w:rsidRDefault="00566E75" w:rsidP="002B1953">
      <w:pPr>
        <w:pStyle w:val="Observation"/>
        <w:rPr>
          <w:lang w:val="en-GB"/>
        </w:rPr>
      </w:pPr>
      <w:bookmarkStart w:id="12" w:name="_Toc127552383"/>
      <w:r w:rsidRPr="00566E75">
        <w:rPr>
          <w:lang w:val="en-GB"/>
        </w:rPr>
        <w:t>Unlike ACLR, IBE probably cannot be relaxed as much compared to a TN UE. Some relaxation may be possible due to the BS beamforming pointing RX beams in different directions for different UEs.</w:t>
      </w:r>
      <w:bookmarkEnd w:id="12"/>
    </w:p>
    <w:p w14:paraId="52B71F6B" w14:textId="62C33732" w:rsidR="00624514" w:rsidRDefault="002A52F7" w:rsidP="002B1953">
      <w:pPr>
        <w:rPr>
          <w:lang w:val="en-GB" w:eastAsia="ja-JP"/>
        </w:rPr>
      </w:pPr>
      <w:r>
        <w:rPr>
          <w:lang w:val="en-GB" w:eastAsia="ja-JP"/>
        </w:rPr>
        <w:t>Alternatively, it could be discussed whether an</w:t>
      </w:r>
      <w:r w:rsidR="009C1C89">
        <w:rPr>
          <w:lang w:val="en-GB" w:eastAsia="ja-JP"/>
        </w:rPr>
        <w:t xml:space="preserve"> ATG </w:t>
      </w:r>
      <w:r w:rsidR="00677FF8">
        <w:rPr>
          <w:lang w:val="en-GB" w:eastAsia="ja-JP"/>
        </w:rPr>
        <w:t xml:space="preserve">network </w:t>
      </w:r>
      <w:r w:rsidR="009C1C89">
        <w:rPr>
          <w:lang w:val="en-GB" w:eastAsia="ja-JP"/>
        </w:rPr>
        <w:t>would really be operated by allocating a small number of RBs to the UE</w:t>
      </w:r>
      <w:r w:rsidR="00624514">
        <w:rPr>
          <w:lang w:val="en-GB" w:eastAsia="ja-JP"/>
        </w:rPr>
        <w:t>. If this is unlikely, then the IBE requirements could be developed excluding allocating small numbers of RB at full power.</w:t>
      </w:r>
    </w:p>
    <w:p w14:paraId="418E3CCF" w14:textId="06794FDA" w:rsidR="00624514" w:rsidRDefault="00CB70CD" w:rsidP="002B1953">
      <w:pPr>
        <w:rPr>
          <w:lang w:val="en-GB" w:eastAsia="ja-JP"/>
        </w:rPr>
      </w:pPr>
      <w:r>
        <w:rPr>
          <w:lang w:val="en-GB" w:eastAsia="ja-JP"/>
        </w:rPr>
        <w:t>Apart from the scenario of a low number of RBs at low power, the IBE requirements do not imply any greater linearity than is needed to achieve 256QAM</w:t>
      </w:r>
      <w:r w:rsidR="003820AC">
        <w:rPr>
          <w:lang w:val="en-GB" w:eastAsia="ja-JP"/>
        </w:rPr>
        <w:t>. So</w:t>
      </w:r>
      <w:r w:rsidR="008F1DE6">
        <w:rPr>
          <w:lang w:val="en-GB" w:eastAsia="ja-JP"/>
        </w:rPr>
        <w:t xml:space="preserve">, if the ATG UE is expected to support 256QAM then meeting the IBE requirements as specified for terrestrial UEs should not be an issue. If instead the ATG UE only supports 64QAM then the </w:t>
      </w:r>
      <w:r w:rsidR="00D474F3">
        <w:rPr>
          <w:lang w:val="en-GB" w:eastAsia="ja-JP"/>
        </w:rPr>
        <w:t xml:space="preserve">IBE requirement may be </w:t>
      </w:r>
      <w:r w:rsidR="0097004E">
        <w:rPr>
          <w:lang w:val="en-GB" w:eastAsia="ja-JP"/>
        </w:rPr>
        <w:t>several dB</w:t>
      </w:r>
      <w:r w:rsidR="00D474F3">
        <w:rPr>
          <w:lang w:val="en-GB" w:eastAsia="ja-JP"/>
        </w:rPr>
        <w:t xml:space="preserve"> more stringent</w:t>
      </w:r>
      <w:r w:rsidR="00F97AA1">
        <w:rPr>
          <w:lang w:val="en-GB" w:eastAsia="ja-JP"/>
        </w:rPr>
        <w:t>.</w:t>
      </w:r>
    </w:p>
    <w:p w14:paraId="76F909A7" w14:textId="24E2E5A5" w:rsidR="009114C2" w:rsidRDefault="009114C2" w:rsidP="009114C2">
      <w:pPr>
        <w:pStyle w:val="Observation"/>
        <w:rPr>
          <w:lang w:val="en-GB"/>
        </w:rPr>
      </w:pPr>
      <w:bookmarkStart w:id="13" w:name="_Toc127552384"/>
      <w:r>
        <w:rPr>
          <w:lang w:val="en-GB"/>
        </w:rPr>
        <w:lastRenderedPageBreak/>
        <w:t>The limiting factor for TX linearity may be the EVM, not the IBE.</w:t>
      </w:r>
      <w:bookmarkEnd w:id="13"/>
    </w:p>
    <w:p w14:paraId="2F909F2B" w14:textId="5A36FF40" w:rsidR="009114C2" w:rsidRDefault="009114C2" w:rsidP="009114C2">
      <w:pPr>
        <w:pStyle w:val="Observation"/>
        <w:numPr>
          <w:ilvl w:val="0"/>
          <w:numId w:val="0"/>
        </w:numPr>
        <w:rPr>
          <w:lang w:val="en-GB"/>
        </w:rPr>
      </w:pPr>
    </w:p>
    <w:p w14:paraId="121F3C81" w14:textId="77777777" w:rsidR="009211E7" w:rsidRDefault="009114C2" w:rsidP="009114C2">
      <w:pPr>
        <w:pStyle w:val="Proposal"/>
        <w:rPr>
          <w:lang w:val="en-GB"/>
        </w:rPr>
      </w:pPr>
      <w:bookmarkStart w:id="14" w:name="_Toc127552395"/>
      <w:r>
        <w:rPr>
          <w:lang w:val="en-GB"/>
        </w:rPr>
        <w:t>RAN4 to discuss further whether it is useful t</w:t>
      </w:r>
      <w:r w:rsidR="00CD03FF">
        <w:rPr>
          <w:lang w:val="en-GB"/>
        </w:rPr>
        <w:t>o</w:t>
      </w:r>
      <w:r>
        <w:rPr>
          <w:lang w:val="en-GB"/>
        </w:rPr>
        <w:t xml:space="preserve"> do simulations to determine maximum acceptable IBE.</w:t>
      </w:r>
      <w:bookmarkEnd w:id="14"/>
      <w:r>
        <w:rPr>
          <w:lang w:val="en-GB"/>
        </w:rPr>
        <w:t xml:space="preserve"> </w:t>
      </w:r>
    </w:p>
    <w:p w14:paraId="10CF6E52" w14:textId="78C648FD" w:rsidR="009114C2" w:rsidRPr="009114C2" w:rsidRDefault="009211E7" w:rsidP="00B316E1">
      <w:pPr>
        <w:pStyle w:val="Observation"/>
        <w:rPr>
          <w:lang w:val="en-GB"/>
        </w:rPr>
      </w:pPr>
      <w:bookmarkStart w:id="15" w:name="_Toc127552385"/>
      <w:r>
        <w:rPr>
          <w:lang w:val="en-GB"/>
        </w:rPr>
        <w:t>If</w:t>
      </w:r>
      <w:r w:rsidR="009114C2">
        <w:rPr>
          <w:lang w:val="en-GB"/>
        </w:rPr>
        <w:t xml:space="preserve"> it could be assumed that low RB allocations are not relevant and</w:t>
      </w:r>
      <w:r w:rsidR="00A94AB0">
        <w:rPr>
          <w:lang w:val="en-GB"/>
        </w:rPr>
        <w:t>/or</w:t>
      </w:r>
      <w:r w:rsidR="009114C2">
        <w:rPr>
          <w:lang w:val="en-GB"/>
        </w:rPr>
        <w:t xml:space="preserve"> that EVM will anyhow be the determining factor for receiver linearity</w:t>
      </w:r>
      <w:r w:rsidR="00CD03FF">
        <w:rPr>
          <w:lang w:val="en-GB"/>
        </w:rPr>
        <w:t>, and hence the TN limits could still be applied</w:t>
      </w:r>
      <w:r w:rsidR="00A94AB0">
        <w:rPr>
          <w:lang w:val="en-GB"/>
        </w:rPr>
        <w:t xml:space="preserve"> then simulations as discussed in proposal 10 would not be needed</w:t>
      </w:r>
      <w:r w:rsidR="00CD03FF">
        <w:rPr>
          <w:lang w:val="en-GB"/>
        </w:rPr>
        <w:t>.</w:t>
      </w:r>
      <w:bookmarkEnd w:id="15"/>
    </w:p>
    <w:p w14:paraId="5CA76A03" w14:textId="77777777" w:rsidR="00A136F6" w:rsidRDefault="00A136F6" w:rsidP="002B1953">
      <w:pPr>
        <w:rPr>
          <w:u w:val="single"/>
          <w:lang w:val="en-GB" w:eastAsia="ja-JP"/>
        </w:rPr>
      </w:pPr>
    </w:p>
    <w:p w14:paraId="37CB33F4" w14:textId="3806E8DE" w:rsidR="00BF70FC" w:rsidRDefault="00BF70FC" w:rsidP="002B1953">
      <w:pPr>
        <w:rPr>
          <w:u w:val="single"/>
          <w:lang w:val="en-GB" w:eastAsia="ja-JP"/>
        </w:rPr>
      </w:pPr>
      <w:r>
        <w:rPr>
          <w:u w:val="single"/>
          <w:lang w:val="en-GB" w:eastAsia="ja-JP"/>
        </w:rPr>
        <w:t>Time alignment error</w:t>
      </w:r>
    </w:p>
    <w:p w14:paraId="7C205EC4" w14:textId="7C6E9333" w:rsidR="008A6FE3" w:rsidRDefault="008B2975" w:rsidP="002B1953">
      <w:pPr>
        <w:rPr>
          <w:lang w:val="en-GB" w:eastAsia="ja-JP"/>
        </w:rPr>
      </w:pPr>
      <w:r>
        <w:rPr>
          <w:lang w:val="en-GB" w:eastAsia="ja-JP"/>
        </w:rPr>
        <w:t xml:space="preserve">The time alignment error is only specified in the terrestrial UE specification for UEs supporting UL MIMO. The ATG UE may not support UL MIMO. However, at least in the case of 4GHz it is likely to have a beamforming array. Time alignment between the transmitters is then essential </w:t>
      </w:r>
      <w:r w:rsidR="00186113">
        <w:rPr>
          <w:lang w:val="en-GB" w:eastAsia="ja-JP"/>
        </w:rPr>
        <w:t>to ensure a coherent transmission for the beam shape.</w:t>
      </w:r>
    </w:p>
    <w:p w14:paraId="39120476" w14:textId="222D1707" w:rsidR="00186113" w:rsidRDefault="001B6D64" w:rsidP="002B1953">
      <w:pPr>
        <w:rPr>
          <w:lang w:val="en-GB" w:eastAsia="ja-JP"/>
        </w:rPr>
      </w:pPr>
      <w:r>
        <w:rPr>
          <w:lang w:val="en-GB" w:eastAsia="ja-JP"/>
        </w:rPr>
        <w:t>In the BS specification, instead of timing alignment, beam shape is regulated by the EIRP accuracy requirement. It is assumed that transmitters within “TAE groups” are time aligned. A TAE group is a group of transmitters that creates a coherent beam.</w:t>
      </w:r>
    </w:p>
    <w:p w14:paraId="40DDB35B" w14:textId="13F2D356" w:rsidR="008A6FE3" w:rsidRDefault="00CA3609" w:rsidP="002B1953">
      <w:pPr>
        <w:rPr>
          <w:lang w:val="en-GB" w:eastAsia="ja-JP"/>
        </w:rPr>
      </w:pPr>
      <w:r>
        <w:rPr>
          <w:lang w:val="en-GB" w:eastAsia="ja-JP"/>
        </w:rPr>
        <w:t>Further discussion is needed for the ATG UE whether to set a requirement related to beamforming quality and if so, whether a time alignment requirement would be needed as part of that or not.</w:t>
      </w:r>
    </w:p>
    <w:p w14:paraId="65A2517F" w14:textId="0874B540" w:rsidR="00B17728" w:rsidRDefault="00B17728" w:rsidP="00B17728">
      <w:pPr>
        <w:pStyle w:val="Proposal"/>
        <w:rPr>
          <w:lang w:val="en-GB"/>
        </w:rPr>
      </w:pPr>
      <w:bookmarkStart w:id="16" w:name="_Toc127552396"/>
      <w:r>
        <w:rPr>
          <w:lang w:val="en-GB"/>
        </w:rPr>
        <w:t xml:space="preserve">RAN4 to discuss whether beamforming quality should be captured in the specifications and if so whether timing alignment is </w:t>
      </w:r>
      <w:r w:rsidR="001A6A0C">
        <w:rPr>
          <w:lang w:val="en-GB"/>
        </w:rPr>
        <w:t>relevant,</w:t>
      </w:r>
      <w:r>
        <w:rPr>
          <w:lang w:val="en-GB"/>
        </w:rPr>
        <w:t xml:space="preserve"> or the </w:t>
      </w:r>
      <w:r w:rsidR="003430BF">
        <w:rPr>
          <w:lang w:val="en-GB"/>
        </w:rPr>
        <w:t xml:space="preserve">beam </w:t>
      </w:r>
      <w:r>
        <w:rPr>
          <w:lang w:val="en-GB"/>
        </w:rPr>
        <w:t>quality could be captured using EIRP (</w:t>
      </w:r>
      <w:proofErr w:type="gramStart"/>
      <w:r>
        <w:rPr>
          <w:lang w:val="en-GB"/>
        </w:rPr>
        <w:t>similar to</w:t>
      </w:r>
      <w:proofErr w:type="gramEnd"/>
      <w:r>
        <w:rPr>
          <w:lang w:val="en-GB"/>
        </w:rPr>
        <w:t xml:space="preserve"> the BS spec).</w:t>
      </w:r>
      <w:bookmarkEnd w:id="16"/>
    </w:p>
    <w:p w14:paraId="7773EA9E" w14:textId="77777777" w:rsidR="00293639" w:rsidRDefault="00293639" w:rsidP="002B1953">
      <w:pPr>
        <w:rPr>
          <w:u w:val="single"/>
          <w:lang w:val="en-GB" w:eastAsia="ja-JP"/>
        </w:rPr>
      </w:pPr>
    </w:p>
    <w:p w14:paraId="721DC31C" w14:textId="6B6E4E4A" w:rsidR="00BF70FC" w:rsidRDefault="00BF70FC" w:rsidP="002B1953">
      <w:pPr>
        <w:rPr>
          <w:u w:val="single"/>
          <w:lang w:val="en-GB" w:eastAsia="ja-JP"/>
        </w:rPr>
      </w:pPr>
      <w:r>
        <w:rPr>
          <w:u w:val="single"/>
          <w:lang w:val="en-GB" w:eastAsia="ja-JP"/>
        </w:rPr>
        <w:t>Occupied bandwidth</w:t>
      </w:r>
    </w:p>
    <w:p w14:paraId="01BE5018" w14:textId="077B3398" w:rsidR="00A05534" w:rsidRDefault="00A05534" w:rsidP="002B1953">
      <w:pPr>
        <w:rPr>
          <w:lang w:val="en-GB" w:eastAsia="ja-JP"/>
        </w:rPr>
      </w:pPr>
      <w:r>
        <w:rPr>
          <w:lang w:val="en-GB" w:eastAsia="ja-JP"/>
        </w:rPr>
        <w:t>During RAN4#10</w:t>
      </w:r>
      <w:r w:rsidR="006F3F5D">
        <w:rPr>
          <w:lang w:val="en-GB" w:eastAsia="ja-JP"/>
        </w:rPr>
        <w:t>5, it was agreed to re-use occupied bandwidth requirements from 38.101-1.</w:t>
      </w:r>
    </w:p>
    <w:p w14:paraId="1C77054B" w14:textId="77777777" w:rsidR="006F3F5D" w:rsidRPr="00A05534" w:rsidRDefault="006F3F5D" w:rsidP="002B1953">
      <w:pPr>
        <w:rPr>
          <w:lang w:val="en-GB" w:eastAsia="ja-JP"/>
        </w:rPr>
      </w:pPr>
    </w:p>
    <w:p w14:paraId="061D9089" w14:textId="24D1B6EA" w:rsidR="00BF70FC" w:rsidRDefault="00BF70FC" w:rsidP="002B1953">
      <w:pPr>
        <w:rPr>
          <w:u w:val="single"/>
          <w:lang w:val="en-GB" w:eastAsia="ja-JP"/>
        </w:rPr>
      </w:pPr>
      <w:r>
        <w:rPr>
          <w:u w:val="single"/>
          <w:lang w:val="en-GB" w:eastAsia="ja-JP"/>
        </w:rPr>
        <w:t>Out of band emission</w:t>
      </w:r>
    </w:p>
    <w:p w14:paraId="1C630301" w14:textId="35813F63" w:rsidR="006F3F5D" w:rsidRDefault="00216255" w:rsidP="002B1953">
      <w:pPr>
        <w:rPr>
          <w:lang w:val="en-GB" w:eastAsia="ja-JP"/>
        </w:rPr>
      </w:pPr>
      <w:r>
        <w:rPr>
          <w:lang w:val="en-GB" w:eastAsia="ja-JP"/>
        </w:rPr>
        <w:t xml:space="preserve">It is likely that the out of band emissions requirements specified for </w:t>
      </w:r>
      <w:r w:rsidR="0035083E">
        <w:rPr>
          <w:lang w:val="en-GB" w:eastAsia="ja-JP"/>
        </w:rPr>
        <w:t>UE in 38.101-1 can be used. This conclusion may be double checked after the co-existence study as it is likely that in general requirements within the 3GPP band do not need to be as strict as for a TN UE.</w:t>
      </w:r>
    </w:p>
    <w:p w14:paraId="3A69823F" w14:textId="6BED8DA1" w:rsidR="00A90EC1" w:rsidRPr="00216255" w:rsidRDefault="00A068E2" w:rsidP="00A068E2">
      <w:pPr>
        <w:pStyle w:val="Proposal"/>
        <w:rPr>
          <w:lang w:val="en-GB"/>
        </w:rPr>
      </w:pPr>
      <w:bookmarkStart w:id="17" w:name="_Toc127552397"/>
      <w:r>
        <w:rPr>
          <w:lang w:val="en-GB"/>
        </w:rPr>
        <w:t xml:space="preserve">When the ACLR limit has been set, </w:t>
      </w:r>
      <w:r w:rsidR="00512F9D">
        <w:rPr>
          <w:lang w:val="en-GB"/>
        </w:rPr>
        <w:t>double check that the out of band emissions limits are consistent with the ACLR.</w:t>
      </w:r>
      <w:bookmarkEnd w:id="17"/>
    </w:p>
    <w:p w14:paraId="7A9170C7" w14:textId="77777777" w:rsidR="006F3F5D" w:rsidRDefault="006F3F5D" w:rsidP="002B1953">
      <w:pPr>
        <w:rPr>
          <w:u w:val="single"/>
          <w:lang w:val="en-GB" w:eastAsia="ja-JP"/>
        </w:rPr>
      </w:pPr>
    </w:p>
    <w:p w14:paraId="00DC17DD" w14:textId="6DA7F15E" w:rsidR="00BF70FC" w:rsidRDefault="00BF70FC" w:rsidP="002B1953">
      <w:pPr>
        <w:rPr>
          <w:u w:val="single"/>
          <w:lang w:val="en-GB" w:eastAsia="ja-JP"/>
        </w:rPr>
      </w:pPr>
      <w:r>
        <w:rPr>
          <w:u w:val="single"/>
          <w:lang w:val="en-GB" w:eastAsia="ja-JP"/>
        </w:rPr>
        <w:t>Spurious emission</w:t>
      </w:r>
    </w:p>
    <w:p w14:paraId="5EE3A778" w14:textId="1901516E" w:rsidR="0035083E" w:rsidRPr="0035083E" w:rsidRDefault="0035083E" w:rsidP="002B1953">
      <w:pPr>
        <w:rPr>
          <w:lang w:val="en-GB" w:eastAsia="ja-JP"/>
        </w:rPr>
      </w:pPr>
      <w:r>
        <w:rPr>
          <w:lang w:val="en-GB" w:eastAsia="ja-JP"/>
        </w:rPr>
        <w:t>It was agreed to use the spurious emissions requirements in 38.101-1. However, it may be important to bear in mind that the ATG UE may be in proximity to other radio systems on the aircraft and that additional spurious emissions requirements may eventually need to be met by the UE to protect other systems on the aircraft.</w:t>
      </w:r>
    </w:p>
    <w:p w14:paraId="3975C044" w14:textId="77777777" w:rsidR="0035083E" w:rsidRDefault="0035083E" w:rsidP="002B1953">
      <w:pPr>
        <w:rPr>
          <w:u w:val="single"/>
          <w:lang w:val="en-GB" w:eastAsia="ja-JP"/>
        </w:rPr>
      </w:pPr>
    </w:p>
    <w:p w14:paraId="51C26677" w14:textId="629D9B03" w:rsidR="00BF70FC" w:rsidRDefault="00BF70FC" w:rsidP="002B1953">
      <w:pPr>
        <w:rPr>
          <w:u w:val="single"/>
          <w:lang w:val="en-GB" w:eastAsia="ja-JP"/>
        </w:rPr>
      </w:pPr>
      <w:r>
        <w:rPr>
          <w:u w:val="single"/>
          <w:lang w:val="en-GB" w:eastAsia="ja-JP"/>
        </w:rPr>
        <w:t>TX intermodulation</w:t>
      </w:r>
    </w:p>
    <w:p w14:paraId="5350A8D1" w14:textId="27D5F1A9" w:rsidR="0035083E" w:rsidRDefault="00EA227E" w:rsidP="002B1953">
      <w:pPr>
        <w:rPr>
          <w:lang w:val="en-GB" w:eastAsia="ja-JP"/>
        </w:rPr>
      </w:pPr>
      <w:r>
        <w:rPr>
          <w:lang w:val="en-GB" w:eastAsia="ja-JP"/>
        </w:rPr>
        <w:t xml:space="preserve">It could be discussed whether the TX intermodulation requirement is </w:t>
      </w:r>
      <w:proofErr w:type="gramStart"/>
      <w:r>
        <w:rPr>
          <w:lang w:val="en-GB" w:eastAsia="ja-JP"/>
        </w:rPr>
        <w:t>really necessary</w:t>
      </w:r>
      <w:proofErr w:type="gramEnd"/>
      <w:r w:rsidR="00537A15">
        <w:rPr>
          <w:lang w:val="en-GB" w:eastAsia="ja-JP"/>
        </w:rPr>
        <w:t xml:space="preserve"> for an ATG UE, as there may not be another source of strong interference in the band.</w:t>
      </w:r>
    </w:p>
    <w:p w14:paraId="570BEA83" w14:textId="10FEA7D4" w:rsidR="00A05928" w:rsidRDefault="00537A15" w:rsidP="002B1953">
      <w:pPr>
        <w:rPr>
          <w:lang w:val="en-GB" w:eastAsia="ja-JP"/>
        </w:rPr>
      </w:pPr>
      <w:r>
        <w:rPr>
          <w:lang w:val="en-GB" w:eastAsia="ja-JP"/>
        </w:rPr>
        <w:t>There may be sources of interference from other radio transmitters around the aircraft</w:t>
      </w:r>
      <w:r w:rsidR="00055C59">
        <w:rPr>
          <w:lang w:val="en-GB" w:eastAsia="ja-JP"/>
        </w:rPr>
        <w:t xml:space="preserve">, but this will depend on the avionics specifics and </w:t>
      </w:r>
      <w:r w:rsidR="00A05928">
        <w:rPr>
          <w:lang w:val="en-GB" w:eastAsia="ja-JP"/>
        </w:rPr>
        <w:t>is not possible to specify in RAN4.</w:t>
      </w:r>
    </w:p>
    <w:p w14:paraId="1479315B" w14:textId="5A128B84" w:rsidR="00A43FE2" w:rsidRPr="00EA227E" w:rsidRDefault="00A43FE2" w:rsidP="00A43FE2">
      <w:pPr>
        <w:pStyle w:val="Proposal"/>
        <w:rPr>
          <w:lang w:val="en-GB"/>
        </w:rPr>
      </w:pPr>
      <w:bookmarkStart w:id="18" w:name="_Toc127552398"/>
      <w:r>
        <w:rPr>
          <w:lang w:val="en-GB"/>
        </w:rPr>
        <w:lastRenderedPageBreak/>
        <w:t>RAN4 should discuss whether TX IM is really needed from a cellular radio operation perspective.</w:t>
      </w:r>
      <w:bookmarkEnd w:id="18"/>
    </w:p>
    <w:p w14:paraId="571ED5EF" w14:textId="77777777" w:rsidR="0035083E" w:rsidRDefault="0035083E" w:rsidP="002B1953">
      <w:pPr>
        <w:rPr>
          <w:u w:val="single"/>
          <w:lang w:val="en-GB" w:eastAsia="ja-JP"/>
        </w:rPr>
      </w:pPr>
    </w:p>
    <w:p w14:paraId="3879E8F8" w14:textId="77777777" w:rsidR="00C473A5" w:rsidRDefault="00C473A5" w:rsidP="00CE0424">
      <w:pPr>
        <w:pStyle w:val="Heading1"/>
        <w:sectPr w:rsidR="00C473A5" w:rsidSect="003F14FA">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60CD40" w14:textId="572CE75F" w:rsidR="00B316E1"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552381" w:history="1">
        <w:r w:rsidR="00B316E1" w:rsidRPr="008138A8">
          <w:rPr>
            <w:rStyle w:val="Hyperlink"/>
            <w:noProof/>
            <w:lang w:val="en-GB"/>
          </w:rPr>
          <w:t>Observation 1</w:t>
        </w:r>
        <w:r w:rsidR="00B316E1">
          <w:rPr>
            <w:rFonts w:asciiTheme="minorHAnsi" w:eastAsiaTheme="minorEastAsia" w:hAnsiTheme="minorHAnsi"/>
            <w:b w:val="0"/>
            <w:noProof/>
            <w:sz w:val="22"/>
            <w:lang w:val="en-SE" w:eastAsia="en-SE"/>
          </w:rPr>
          <w:tab/>
        </w:r>
        <w:r w:rsidR="00B316E1" w:rsidRPr="008138A8">
          <w:rPr>
            <w:rStyle w:val="Hyperlink"/>
            <w:noProof/>
            <w:lang w:val="en-GB"/>
          </w:rPr>
          <w:t>Further analysis is needed on the power control accuracy requirement. Provisionally the requirements could be the same as for a TN UE.</w:t>
        </w:r>
      </w:hyperlink>
    </w:p>
    <w:p w14:paraId="38AEEEBC" w14:textId="6B5DA73A"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82" w:history="1">
        <w:r w:rsidRPr="008138A8">
          <w:rPr>
            <w:rStyle w:val="Hyperlink"/>
            <w:noProof/>
            <w:lang w:val="en-GB"/>
          </w:rPr>
          <w:t>Observation 2</w:t>
        </w:r>
        <w:r>
          <w:rPr>
            <w:rFonts w:asciiTheme="minorHAnsi" w:eastAsiaTheme="minorEastAsia" w:hAnsiTheme="minorHAnsi"/>
            <w:b w:val="0"/>
            <w:noProof/>
            <w:sz w:val="22"/>
            <w:lang w:val="en-SE" w:eastAsia="en-SE"/>
          </w:rPr>
          <w:tab/>
        </w:r>
        <w:r w:rsidRPr="008138A8">
          <w:rPr>
            <w:rStyle w:val="Hyperlink"/>
            <w:noProof/>
            <w:lang w:val="en-GB"/>
          </w:rPr>
          <w:t>IBE becomes relatively stringent if the UE is allocated a low number of RB with full power. FFS whether this is a relevant scenario.</w:t>
        </w:r>
      </w:hyperlink>
    </w:p>
    <w:p w14:paraId="2A097E03" w14:textId="318258AA"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83" w:history="1">
        <w:r w:rsidRPr="008138A8">
          <w:rPr>
            <w:rStyle w:val="Hyperlink"/>
            <w:noProof/>
            <w:lang w:val="en-GB"/>
          </w:rPr>
          <w:t>Observation 3</w:t>
        </w:r>
        <w:r>
          <w:rPr>
            <w:rFonts w:asciiTheme="minorHAnsi" w:eastAsiaTheme="minorEastAsia" w:hAnsiTheme="minorHAnsi"/>
            <w:b w:val="0"/>
            <w:noProof/>
            <w:sz w:val="22"/>
            <w:lang w:val="en-SE" w:eastAsia="en-SE"/>
          </w:rPr>
          <w:tab/>
        </w:r>
        <w:r w:rsidRPr="008138A8">
          <w:rPr>
            <w:rStyle w:val="Hyperlink"/>
            <w:noProof/>
            <w:lang w:val="en-GB"/>
          </w:rPr>
          <w:t>Unlike ACLR, IBE probably cannot be relaxed as much compared to a TN UE. Some relaxation may be possible due to the BS beamforming pointing RX beams in different directions for different UEs.</w:t>
        </w:r>
      </w:hyperlink>
    </w:p>
    <w:p w14:paraId="4933F927" w14:textId="68BFCBA1"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84" w:history="1">
        <w:r w:rsidRPr="008138A8">
          <w:rPr>
            <w:rStyle w:val="Hyperlink"/>
            <w:noProof/>
            <w:lang w:val="en-GB"/>
          </w:rPr>
          <w:t>Observation 4</w:t>
        </w:r>
        <w:r>
          <w:rPr>
            <w:rFonts w:asciiTheme="minorHAnsi" w:eastAsiaTheme="minorEastAsia" w:hAnsiTheme="minorHAnsi"/>
            <w:b w:val="0"/>
            <w:noProof/>
            <w:sz w:val="22"/>
            <w:lang w:val="en-SE" w:eastAsia="en-SE"/>
          </w:rPr>
          <w:tab/>
        </w:r>
        <w:r w:rsidRPr="008138A8">
          <w:rPr>
            <w:rStyle w:val="Hyperlink"/>
            <w:noProof/>
            <w:lang w:val="en-GB"/>
          </w:rPr>
          <w:t>The limiting factor for TX linearity may be the EVM, not the IBE.</w:t>
        </w:r>
      </w:hyperlink>
    </w:p>
    <w:p w14:paraId="69EA329E" w14:textId="430806F2"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85" w:history="1">
        <w:r w:rsidRPr="008138A8">
          <w:rPr>
            <w:rStyle w:val="Hyperlink"/>
            <w:noProof/>
            <w:lang w:val="en-GB"/>
          </w:rPr>
          <w:t>Observation 5</w:t>
        </w:r>
        <w:r>
          <w:rPr>
            <w:rFonts w:asciiTheme="minorHAnsi" w:eastAsiaTheme="minorEastAsia" w:hAnsiTheme="minorHAnsi"/>
            <w:b w:val="0"/>
            <w:noProof/>
            <w:sz w:val="22"/>
            <w:lang w:val="en-SE" w:eastAsia="en-SE"/>
          </w:rPr>
          <w:tab/>
        </w:r>
        <w:r w:rsidRPr="008138A8">
          <w:rPr>
            <w:rStyle w:val="Hyperlink"/>
            <w:noProof/>
            <w:lang w:val="en-GB"/>
          </w:rPr>
          <w:t>If it could be assumed that low RB allocations are not relevant and/or that EVM will anyhow be the determining factor for receiver linearity, and hence the TN limits could still be applied then simulations as discussed in proposal 10 would not be needed.</w:t>
        </w:r>
      </w:hyperlink>
    </w:p>
    <w:p w14:paraId="5F69EC0F" w14:textId="58A4D55A"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4095C0" w14:textId="4E261F1A" w:rsidR="00B316E1"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552386" w:history="1">
        <w:r w:rsidR="00B316E1" w:rsidRPr="006F4AE4">
          <w:rPr>
            <w:rStyle w:val="Hyperlink"/>
            <w:noProof/>
            <w:lang w:val="en-GB"/>
          </w:rPr>
          <w:t>Proposal 1</w:t>
        </w:r>
        <w:r w:rsidR="00B316E1">
          <w:rPr>
            <w:rFonts w:asciiTheme="minorHAnsi" w:eastAsiaTheme="minorEastAsia" w:hAnsiTheme="minorHAnsi"/>
            <w:b w:val="0"/>
            <w:noProof/>
            <w:sz w:val="22"/>
            <w:lang w:val="en-SE" w:eastAsia="en-SE"/>
          </w:rPr>
          <w:tab/>
        </w:r>
        <w:r w:rsidR="00B316E1" w:rsidRPr="006F4AE4">
          <w:rPr>
            <w:rStyle w:val="Hyperlink"/>
            <w:noProof/>
            <w:lang w:val="en-GB"/>
          </w:rPr>
          <w:t>The output power range is 23dBm – [Maximum output power used in co-existence simulations]</w:t>
        </w:r>
      </w:hyperlink>
    </w:p>
    <w:p w14:paraId="39BDAC19" w14:textId="0F77EF43"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87" w:history="1">
        <w:r w:rsidRPr="006F4AE4">
          <w:rPr>
            <w:rStyle w:val="Hyperlink"/>
            <w:noProof/>
            <w:lang w:val="en-GB"/>
          </w:rPr>
          <w:t>Proposal 2</w:t>
        </w:r>
        <w:r>
          <w:rPr>
            <w:rFonts w:asciiTheme="minorHAnsi" w:eastAsiaTheme="minorEastAsia" w:hAnsiTheme="minorHAnsi"/>
            <w:b w:val="0"/>
            <w:noProof/>
            <w:sz w:val="22"/>
            <w:lang w:val="en-SE" w:eastAsia="en-SE"/>
          </w:rPr>
          <w:tab/>
        </w:r>
        <w:r w:rsidRPr="006F4AE4">
          <w:rPr>
            <w:rStyle w:val="Hyperlink"/>
            <w:noProof/>
            <w:lang w:val="en-GB"/>
          </w:rPr>
          <w:t>To deal with different NS values in different regions, the UE could signal a different MOP when it enters a network with a different NS instead of using A-MPR.</w:t>
        </w:r>
      </w:hyperlink>
    </w:p>
    <w:p w14:paraId="3C8005E6" w14:textId="5584A34D"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88" w:history="1">
        <w:r w:rsidRPr="006F4AE4">
          <w:rPr>
            <w:rStyle w:val="Hyperlink"/>
            <w:noProof/>
            <w:lang w:val="en-GB"/>
          </w:rPr>
          <w:t>Proposal 3</w:t>
        </w:r>
        <w:r>
          <w:rPr>
            <w:rFonts w:asciiTheme="minorHAnsi" w:eastAsiaTheme="minorEastAsia" w:hAnsiTheme="minorHAnsi"/>
            <w:b w:val="0"/>
            <w:noProof/>
            <w:sz w:val="22"/>
            <w:lang w:val="en-SE" w:eastAsia="en-SE"/>
          </w:rPr>
          <w:tab/>
        </w:r>
        <w:r w:rsidRPr="006F4AE4">
          <w:rPr>
            <w:rStyle w:val="Hyperlink"/>
            <w:noProof/>
            <w:lang w:val="en-GB"/>
          </w:rPr>
          <w:t>In case A-MPR would be used, RAN4 needs to check whether the current A-MPR are suitable for avionics UEs at higher TX power.</w:t>
        </w:r>
      </w:hyperlink>
    </w:p>
    <w:p w14:paraId="166F1D60" w14:textId="42CFD13B"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89" w:history="1">
        <w:r w:rsidRPr="006F4AE4">
          <w:rPr>
            <w:rStyle w:val="Hyperlink"/>
            <w:noProof/>
            <w:lang w:val="en-GB"/>
          </w:rPr>
          <w:t>Proposal 4</w:t>
        </w:r>
        <w:r>
          <w:rPr>
            <w:rFonts w:asciiTheme="minorHAnsi" w:eastAsiaTheme="minorEastAsia" w:hAnsiTheme="minorHAnsi"/>
            <w:b w:val="0"/>
            <w:noProof/>
            <w:sz w:val="22"/>
            <w:lang w:val="en-SE" w:eastAsia="en-SE"/>
          </w:rPr>
          <w:tab/>
        </w:r>
        <w:r w:rsidRPr="006F4AE4">
          <w:rPr>
            <w:rStyle w:val="Hyperlink"/>
            <w:noProof/>
            <w:lang w:val="en-GB"/>
          </w:rPr>
          <w:t>Specify the MOP to be at maximum modulation order instead of defining MPR.</w:t>
        </w:r>
      </w:hyperlink>
    </w:p>
    <w:p w14:paraId="3FC6B707" w14:textId="7C1870B3"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0" w:history="1">
        <w:r w:rsidRPr="006F4AE4">
          <w:rPr>
            <w:rStyle w:val="Hyperlink"/>
            <w:noProof/>
            <w:lang w:val="en-GB"/>
          </w:rPr>
          <w:t>Proposal 5</w:t>
        </w:r>
        <w:r>
          <w:rPr>
            <w:rFonts w:asciiTheme="minorHAnsi" w:eastAsiaTheme="minorEastAsia" w:hAnsiTheme="minorHAnsi"/>
            <w:b w:val="0"/>
            <w:noProof/>
            <w:sz w:val="22"/>
            <w:lang w:val="en-SE" w:eastAsia="en-SE"/>
          </w:rPr>
          <w:tab/>
        </w:r>
        <w:r w:rsidRPr="006F4AE4">
          <w:rPr>
            <w:rStyle w:val="Hyperlink"/>
            <w:noProof/>
            <w:lang w:val="en-GB"/>
          </w:rPr>
          <w:t>Define UE minimum output power to be no less than -20dBm summed over all connectors.</w:t>
        </w:r>
      </w:hyperlink>
    </w:p>
    <w:p w14:paraId="45686880" w14:textId="6DADA9EF"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1" w:history="1">
        <w:r w:rsidRPr="006F4AE4">
          <w:rPr>
            <w:rStyle w:val="Hyperlink"/>
            <w:noProof/>
            <w:lang w:val="en-GB"/>
          </w:rPr>
          <w:t>Proposal 6</w:t>
        </w:r>
        <w:r>
          <w:rPr>
            <w:rFonts w:asciiTheme="minorHAnsi" w:eastAsiaTheme="minorEastAsia" w:hAnsiTheme="minorHAnsi"/>
            <w:b w:val="0"/>
            <w:noProof/>
            <w:sz w:val="22"/>
            <w:lang w:val="en-SE" w:eastAsia="en-SE"/>
          </w:rPr>
          <w:tab/>
        </w:r>
        <w:r w:rsidRPr="006F4AE4">
          <w:rPr>
            <w:rStyle w:val="Hyperlink"/>
            <w:noProof/>
            <w:lang w:val="en-GB"/>
          </w:rPr>
          <w:t>OFF power is -20dBm (or the UE minimum power) summed over all connectors.</w:t>
        </w:r>
      </w:hyperlink>
    </w:p>
    <w:p w14:paraId="517DD1FD" w14:textId="232B30AC"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2" w:history="1">
        <w:r w:rsidRPr="006F4AE4">
          <w:rPr>
            <w:rStyle w:val="Hyperlink"/>
            <w:noProof/>
            <w:lang w:val="en-GB"/>
          </w:rPr>
          <w:t>Proposal 7</w:t>
        </w:r>
        <w:r>
          <w:rPr>
            <w:rFonts w:asciiTheme="minorHAnsi" w:eastAsiaTheme="minorEastAsia" w:hAnsiTheme="minorHAnsi"/>
            <w:b w:val="0"/>
            <w:noProof/>
            <w:sz w:val="22"/>
            <w:lang w:val="en-SE" w:eastAsia="en-SE"/>
          </w:rPr>
          <w:tab/>
        </w:r>
        <w:r w:rsidRPr="006F4AE4">
          <w:rPr>
            <w:rStyle w:val="Hyperlink"/>
            <w:noProof/>
            <w:lang w:val="en-GB"/>
          </w:rPr>
          <w:t>TDD transient time is the same as in the TN specifications</w:t>
        </w:r>
      </w:hyperlink>
    </w:p>
    <w:p w14:paraId="62EDA86E" w14:textId="7EB965AE"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3" w:history="1">
        <w:r w:rsidRPr="006F4AE4">
          <w:rPr>
            <w:rStyle w:val="Hyperlink"/>
            <w:noProof/>
            <w:lang w:val="en-GB"/>
          </w:rPr>
          <w:t>Proposal 8</w:t>
        </w:r>
        <w:r>
          <w:rPr>
            <w:rFonts w:asciiTheme="minorHAnsi" w:eastAsiaTheme="minorEastAsia" w:hAnsiTheme="minorHAnsi"/>
            <w:b w:val="0"/>
            <w:noProof/>
            <w:sz w:val="22"/>
            <w:lang w:val="en-SE" w:eastAsia="en-SE"/>
          </w:rPr>
          <w:tab/>
        </w:r>
        <w:r w:rsidRPr="006F4AE4">
          <w:rPr>
            <w:rStyle w:val="Hyperlink"/>
            <w:noProof/>
            <w:lang w:val="en-GB"/>
          </w:rPr>
          <w:t>Frequency error requirement is 0.1ppm.</w:t>
        </w:r>
      </w:hyperlink>
    </w:p>
    <w:p w14:paraId="526375C7" w14:textId="7FA0C3E9"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4" w:history="1">
        <w:r w:rsidRPr="006F4AE4">
          <w:rPr>
            <w:rStyle w:val="Hyperlink"/>
            <w:noProof/>
            <w:lang w:val="en-GB"/>
          </w:rPr>
          <w:t>Proposal 9</w:t>
        </w:r>
        <w:r>
          <w:rPr>
            <w:rFonts w:asciiTheme="minorHAnsi" w:eastAsiaTheme="minorEastAsia" w:hAnsiTheme="minorHAnsi"/>
            <w:b w:val="0"/>
            <w:noProof/>
            <w:sz w:val="22"/>
            <w:lang w:val="en-SE" w:eastAsia="en-SE"/>
          </w:rPr>
          <w:tab/>
        </w:r>
        <w:r w:rsidRPr="006F4AE4">
          <w:rPr>
            <w:rStyle w:val="Hyperlink"/>
            <w:noProof/>
            <w:lang w:val="en-GB"/>
          </w:rPr>
          <w:t>EVM requirements can be the same as TN UE.</w:t>
        </w:r>
      </w:hyperlink>
    </w:p>
    <w:p w14:paraId="4CAA29C3" w14:textId="774E3882"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5" w:history="1">
        <w:r w:rsidRPr="006F4AE4">
          <w:rPr>
            <w:rStyle w:val="Hyperlink"/>
            <w:noProof/>
            <w:lang w:val="en-GB"/>
          </w:rPr>
          <w:t>Proposal 10</w:t>
        </w:r>
        <w:r>
          <w:rPr>
            <w:rFonts w:asciiTheme="minorHAnsi" w:eastAsiaTheme="minorEastAsia" w:hAnsiTheme="minorHAnsi"/>
            <w:b w:val="0"/>
            <w:noProof/>
            <w:sz w:val="22"/>
            <w:lang w:val="en-SE" w:eastAsia="en-SE"/>
          </w:rPr>
          <w:tab/>
        </w:r>
        <w:r w:rsidRPr="006F4AE4">
          <w:rPr>
            <w:rStyle w:val="Hyperlink"/>
            <w:noProof/>
            <w:lang w:val="en-GB"/>
          </w:rPr>
          <w:t>RAN4 to discuss further whether it is useful to do simulations to determine maximum acceptable IBE.</w:t>
        </w:r>
      </w:hyperlink>
    </w:p>
    <w:p w14:paraId="3710E8D8" w14:textId="7BBD16FA"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6" w:history="1">
        <w:r w:rsidRPr="006F4AE4">
          <w:rPr>
            <w:rStyle w:val="Hyperlink"/>
            <w:noProof/>
            <w:lang w:val="en-GB"/>
          </w:rPr>
          <w:t>Proposal 11</w:t>
        </w:r>
        <w:r>
          <w:rPr>
            <w:rFonts w:asciiTheme="minorHAnsi" w:eastAsiaTheme="minorEastAsia" w:hAnsiTheme="minorHAnsi"/>
            <w:b w:val="0"/>
            <w:noProof/>
            <w:sz w:val="22"/>
            <w:lang w:val="en-SE" w:eastAsia="en-SE"/>
          </w:rPr>
          <w:tab/>
        </w:r>
        <w:r w:rsidRPr="006F4AE4">
          <w:rPr>
            <w:rStyle w:val="Hyperlink"/>
            <w:noProof/>
            <w:lang w:val="en-GB"/>
          </w:rPr>
          <w:t>RAN4 to discuss whether beamforming quality should be captured in the specifications and if so whether timing alignment is relevant, or the beam quality could be captured using EIRP (similar to the BS spec).</w:t>
        </w:r>
      </w:hyperlink>
    </w:p>
    <w:p w14:paraId="1EC1797E" w14:textId="25C6CD3C"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7" w:history="1">
        <w:r w:rsidRPr="006F4AE4">
          <w:rPr>
            <w:rStyle w:val="Hyperlink"/>
            <w:noProof/>
            <w:lang w:val="en-GB"/>
          </w:rPr>
          <w:t>Proposal 12</w:t>
        </w:r>
        <w:r>
          <w:rPr>
            <w:rFonts w:asciiTheme="minorHAnsi" w:eastAsiaTheme="minorEastAsia" w:hAnsiTheme="minorHAnsi"/>
            <w:b w:val="0"/>
            <w:noProof/>
            <w:sz w:val="22"/>
            <w:lang w:val="en-SE" w:eastAsia="en-SE"/>
          </w:rPr>
          <w:tab/>
        </w:r>
        <w:r w:rsidRPr="006F4AE4">
          <w:rPr>
            <w:rStyle w:val="Hyperlink"/>
            <w:noProof/>
            <w:lang w:val="en-GB"/>
          </w:rPr>
          <w:t>When the ACLR limit has been set, double check that the out of band emissions limits are consistent with the ACLR.</w:t>
        </w:r>
      </w:hyperlink>
    </w:p>
    <w:p w14:paraId="7F5E9423" w14:textId="0EFE8AF4" w:rsidR="00B316E1" w:rsidRDefault="00B316E1">
      <w:pPr>
        <w:pStyle w:val="TableofFigures"/>
        <w:tabs>
          <w:tab w:val="right" w:leader="dot" w:pos="9629"/>
        </w:tabs>
        <w:rPr>
          <w:rFonts w:asciiTheme="minorHAnsi" w:eastAsiaTheme="minorEastAsia" w:hAnsiTheme="minorHAnsi"/>
          <w:b w:val="0"/>
          <w:noProof/>
          <w:sz w:val="22"/>
          <w:lang w:val="en-SE" w:eastAsia="en-SE"/>
        </w:rPr>
      </w:pPr>
      <w:hyperlink w:anchor="_Toc127552398" w:history="1">
        <w:r w:rsidRPr="006F4AE4">
          <w:rPr>
            <w:rStyle w:val="Hyperlink"/>
            <w:noProof/>
            <w:lang w:val="en-GB"/>
          </w:rPr>
          <w:t>Proposal 13</w:t>
        </w:r>
        <w:r>
          <w:rPr>
            <w:rFonts w:asciiTheme="minorHAnsi" w:eastAsiaTheme="minorEastAsia" w:hAnsiTheme="minorHAnsi"/>
            <w:b w:val="0"/>
            <w:noProof/>
            <w:sz w:val="22"/>
            <w:lang w:val="en-SE" w:eastAsia="en-SE"/>
          </w:rPr>
          <w:tab/>
        </w:r>
        <w:r w:rsidRPr="006F4AE4">
          <w:rPr>
            <w:rStyle w:val="Hyperlink"/>
            <w:noProof/>
            <w:lang w:val="en-GB"/>
          </w:rPr>
          <w:t>RAN4 should discuss whether TX IM is really needed from a cellular radio operation perspective.</w:t>
        </w:r>
      </w:hyperlink>
    </w:p>
    <w:p w14:paraId="747C743C" w14:textId="6A65F9D9"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26FF" w14:textId="77777777" w:rsidR="00A730B8" w:rsidRDefault="00A730B8">
      <w:r>
        <w:separator/>
      </w:r>
    </w:p>
  </w:endnote>
  <w:endnote w:type="continuationSeparator" w:id="0">
    <w:p w14:paraId="2AA3B589" w14:textId="77777777" w:rsidR="00A730B8" w:rsidRDefault="00A730B8">
      <w:r>
        <w:continuationSeparator/>
      </w:r>
    </w:p>
  </w:endnote>
  <w:endnote w:type="continuationNotice" w:id="1">
    <w:p w14:paraId="49BB300A" w14:textId="77777777" w:rsidR="00A730B8" w:rsidRDefault="00A730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510DA" w14:textId="77777777" w:rsidR="00A730B8" w:rsidRDefault="00A730B8">
      <w:r>
        <w:separator/>
      </w:r>
    </w:p>
  </w:footnote>
  <w:footnote w:type="continuationSeparator" w:id="0">
    <w:p w14:paraId="382676BC" w14:textId="77777777" w:rsidR="00A730B8" w:rsidRDefault="00A730B8">
      <w:r>
        <w:continuationSeparator/>
      </w:r>
    </w:p>
  </w:footnote>
  <w:footnote w:type="continuationNotice" w:id="1">
    <w:p w14:paraId="11904E08" w14:textId="77777777" w:rsidR="00A730B8" w:rsidRDefault="00A730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78346784">
    <w:abstractNumId w:val="3"/>
  </w:num>
  <w:num w:numId="2" w16cid:durableId="726338821">
    <w:abstractNumId w:val="15"/>
  </w:num>
  <w:num w:numId="3" w16cid:durableId="1933783086">
    <w:abstractNumId w:val="11"/>
  </w:num>
  <w:num w:numId="4" w16cid:durableId="970598953">
    <w:abstractNumId w:val="12"/>
  </w:num>
  <w:num w:numId="5" w16cid:durableId="401486056">
    <w:abstractNumId w:val="8"/>
  </w:num>
  <w:num w:numId="6" w16cid:durableId="805971792">
    <w:abstractNumId w:val="14"/>
  </w:num>
  <w:num w:numId="7" w16cid:durableId="434516383">
    <w:abstractNumId w:val="18"/>
  </w:num>
  <w:num w:numId="8" w16cid:durableId="1292133634">
    <w:abstractNumId w:val="9"/>
  </w:num>
  <w:num w:numId="9" w16cid:durableId="1035665689">
    <w:abstractNumId w:val="7"/>
  </w:num>
  <w:num w:numId="10" w16cid:durableId="1011680647">
    <w:abstractNumId w:val="2"/>
  </w:num>
  <w:num w:numId="11" w16cid:durableId="1137574178">
    <w:abstractNumId w:val="1"/>
  </w:num>
  <w:num w:numId="12" w16cid:durableId="1152796918">
    <w:abstractNumId w:val="0"/>
  </w:num>
  <w:num w:numId="13" w16cid:durableId="427964899">
    <w:abstractNumId w:val="16"/>
  </w:num>
  <w:num w:numId="14" w16cid:durableId="2036271037">
    <w:abstractNumId w:val="17"/>
  </w:num>
  <w:num w:numId="15" w16cid:durableId="1286236898">
    <w:abstractNumId w:val="13"/>
  </w:num>
  <w:num w:numId="16" w16cid:durableId="257177269">
    <w:abstractNumId w:val="19"/>
  </w:num>
  <w:num w:numId="17" w16cid:durableId="487982118">
    <w:abstractNumId w:val="5"/>
  </w:num>
  <w:num w:numId="18" w16cid:durableId="1894152292">
    <w:abstractNumId w:val="6"/>
  </w:num>
  <w:num w:numId="19" w16cid:durableId="520356347">
    <w:abstractNumId w:val="4"/>
  </w:num>
  <w:num w:numId="20" w16cid:durableId="1385980062">
    <w:abstractNumId w:val="21"/>
  </w:num>
  <w:num w:numId="21" w16cid:durableId="1698309996">
    <w:abstractNumId w:val="10"/>
  </w:num>
  <w:num w:numId="22" w16cid:durableId="149861435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5E6"/>
    <w:rsid w:val="00011B28"/>
    <w:rsid w:val="00015D15"/>
    <w:rsid w:val="000167FF"/>
    <w:rsid w:val="000224DA"/>
    <w:rsid w:val="0002564D"/>
    <w:rsid w:val="00025ECA"/>
    <w:rsid w:val="00031CF2"/>
    <w:rsid w:val="000325B8"/>
    <w:rsid w:val="000336EB"/>
    <w:rsid w:val="00034C15"/>
    <w:rsid w:val="00036BA1"/>
    <w:rsid w:val="000422E2"/>
    <w:rsid w:val="00042F22"/>
    <w:rsid w:val="00043763"/>
    <w:rsid w:val="000444EF"/>
    <w:rsid w:val="00045622"/>
    <w:rsid w:val="00047EC0"/>
    <w:rsid w:val="00052A07"/>
    <w:rsid w:val="000534E3"/>
    <w:rsid w:val="00055C59"/>
    <w:rsid w:val="00055E6D"/>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BD2"/>
    <w:rsid w:val="000D3DDE"/>
    <w:rsid w:val="000D4797"/>
    <w:rsid w:val="000E0527"/>
    <w:rsid w:val="000E1E92"/>
    <w:rsid w:val="000E24EA"/>
    <w:rsid w:val="000F06D6"/>
    <w:rsid w:val="000F0EB1"/>
    <w:rsid w:val="000F1106"/>
    <w:rsid w:val="000F3BE9"/>
    <w:rsid w:val="000F3F6C"/>
    <w:rsid w:val="000F417E"/>
    <w:rsid w:val="000F6DF3"/>
    <w:rsid w:val="001005FF"/>
    <w:rsid w:val="00102F95"/>
    <w:rsid w:val="001062FB"/>
    <w:rsid w:val="001063E6"/>
    <w:rsid w:val="00113CF4"/>
    <w:rsid w:val="001153EA"/>
    <w:rsid w:val="00115643"/>
    <w:rsid w:val="00116765"/>
    <w:rsid w:val="001219F5"/>
    <w:rsid w:val="00121A20"/>
    <w:rsid w:val="0012333E"/>
    <w:rsid w:val="0012377F"/>
    <w:rsid w:val="00124314"/>
    <w:rsid w:val="00126B4A"/>
    <w:rsid w:val="001302C9"/>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6113"/>
    <w:rsid w:val="00190AC1"/>
    <w:rsid w:val="0019341A"/>
    <w:rsid w:val="001974CA"/>
    <w:rsid w:val="00197DF9"/>
    <w:rsid w:val="001A1987"/>
    <w:rsid w:val="001A2564"/>
    <w:rsid w:val="001A35EC"/>
    <w:rsid w:val="001A6173"/>
    <w:rsid w:val="001A6A0C"/>
    <w:rsid w:val="001A6CBA"/>
    <w:rsid w:val="001B0D97"/>
    <w:rsid w:val="001B5A5D"/>
    <w:rsid w:val="001B61FC"/>
    <w:rsid w:val="001B6D64"/>
    <w:rsid w:val="001C1CE5"/>
    <w:rsid w:val="001C3D2A"/>
    <w:rsid w:val="001D1757"/>
    <w:rsid w:val="001D51BA"/>
    <w:rsid w:val="001D53E7"/>
    <w:rsid w:val="001D6342"/>
    <w:rsid w:val="001D6D53"/>
    <w:rsid w:val="001E58E2"/>
    <w:rsid w:val="001E7AED"/>
    <w:rsid w:val="001F256A"/>
    <w:rsid w:val="001F3916"/>
    <w:rsid w:val="001F54C5"/>
    <w:rsid w:val="001F662C"/>
    <w:rsid w:val="001F7074"/>
    <w:rsid w:val="00200490"/>
    <w:rsid w:val="00201F3A"/>
    <w:rsid w:val="00203F96"/>
    <w:rsid w:val="002069B2"/>
    <w:rsid w:val="002079DB"/>
    <w:rsid w:val="00207FA3"/>
    <w:rsid w:val="002109F9"/>
    <w:rsid w:val="00214D99"/>
    <w:rsid w:val="00214DA8"/>
    <w:rsid w:val="00215423"/>
    <w:rsid w:val="002158FA"/>
    <w:rsid w:val="00216255"/>
    <w:rsid w:val="00220600"/>
    <w:rsid w:val="002224DB"/>
    <w:rsid w:val="00223FCB"/>
    <w:rsid w:val="002252C3"/>
    <w:rsid w:val="00225C54"/>
    <w:rsid w:val="00227AF2"/>
    <w:rsid w:val="00230765"/>
    <w:rsid w:val="00230D18"/>
    <w:rsid w:val="002319E4"/>
    <w:rsid w:val="00235632"/>
    <w:rsid w:val="00235872"/>
    <w:rsid w:val="00241559"/>
    <w:rsid w:val="002435B3"/>
    <w:rsid w:val="002458EB"/>
    <w:rsid w:val="002500C8"/>
    <w:rsid w:val="00255EC1"/>
    <w:rsid w:val="00257543"/>
    <w:rsid w:val="002617E7"/>
    <w:rsid w:val="00264228"/>
    <w:rsid w:val="00264334"/>
    <w:rsid w:val="002646BE"/>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639"/>
    <w:rsid w:val="00296227"/>
    <w:rsid w:val="00296F44"/>
    <w:rsid w:val="0029777D"/>
    <w:rsid w:val="002A055E"/>
    <w:rsid w:val="002A1D4E"/>
    <w:rsid w:val="002A2869"/>
    <w:rsid w:val="002A291B"/>
    <w:rsid w:val="002A5052"/>
    <w:rsid w:val="002A52F7"/>
    <w:rsid w:val="002A5416"/>
    <w:rsid w:val="002A578E"/>
    <w:rsid w:val="002B1953"/>
    <w:rsid w:val="002B24D6"/>
    <w:rsid w:val="002B6991"/>
    <w:rsid w:val="002C41E6"/>
    <w:rsid w:val="002D071A"/>
    <w:rsid w:val="002D34B2"/>
    <w:rsid w:val="002D3D55"/>
    <w:rsid w:val="002D48B0"/>
    <w:rsid w:val="002D5B37"/>
    <w:rsid w:val="002D7637"/>
    <w:rsid w:val="002E17F2"/>
    <w:rsid w:val="002E7CAE"/>
    <w:rsid w:val="002F13E4"/>
    <w:rsid w:val="002F1589"/>
    <w:rsid w:val="002F20F1"/>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0BF"/>
    <w:rsid w:val="00346DB5"/>
    <w:rsid w:val="003477B1"/>
    <w:rsid w:val="0035083E"/>
    <w:rsid w:val="003510EE"/>
    <w:rsid w:val="00357380"/>
    <w:rsid w:val="003602D9"/>
    <w:rsid w:val="003604CE"/>
    <w:rsid w:val="00370E47"/>
    <w:rsid w:val="003742AC"/>
    <w:rsid w:val="00377CE1"/>
    <w:rsid w:val="003820AC"/>
    <w:rsid w:val="00385BF0"/>
    <w:rsid w:val="003939FF"/>
    <w:rsid w:val="003948DF"/>
    <w:rsid w:val="003A110E"/>
    <w:rsid w:val="003A2223"/>
    <w:rsid w:val="003A2A0F"/>
    <w:rsid w:val="003A45A1"/>
    <w:rsid w:val="003A4E4F"/>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712A"/>
    <w:rsid w:val="003E15FA"/>
    <w:rsid w:val="003E3BF1"/>
    <w:rsid w:val="003E55E4"/>
    <w:rsid w:val="003E74E3"/>
    <w:rsid w:val="003F05C7"/>
    <w:rsid w:val="003F14FA"/>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DA3"/>
    <w:rsid w:val="00437447"/>
    <w:rsid w:val="00441A92"/>
    <w:rsid w:val="004431DC"/>
    <w:rsid w:val="00444F56"/>
    <w:rsid w:val="00446488"/>
    <w:rsid w:val="00447D80"/>
    <w:rsid w:val="0045170B"/>
    <w:rsid w:val="004517AA"/>
    <w:rsid w:val="00452CAC"/>
    <w:rsid w:val="00452D76"/>
    <w:rsid w:val="00457565"/>
    <w:rsid w:val="00457B71"/>
    <w:rsid w:val="004618D2"/>
    <w:rsid w:val="00464689"/>
    <w:rsid w:val="004669E2"/>
    <w:rsid w:val="00470C31"/>
    <w:rsid w:val="00471DE0"/>
    <w:rsid w:val="00472D43"/>
    <w:rsid w:val="004734D0"/>
    <w:rsid w:val="0047556B"/>
    <w:rsid w:val="00477768"/>
    <w:rsid w:val="00480F6B"/>
    <w:rsid w:val="004867B1"/>
    <w:rsid w:val="00492BC5"/>
    <w:rsid w:val="004964F1"/>
    <w:rsid w:val="004A16BC"/>
    <w:rsid w:val="004A2B94"/>
    <w:rsid w:val="004B1A2B"/>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9D"/>
    <w:rsid w:val="005153A7"/>
    <w:rsid w:val="00515B0A"/>
    <w:rsid w:val="005219CF"/>
    <w:rsid w:val="005252B0"/>
    <w:rsid w:val="00534B59"/>
    <w:rsid w:val="00536759"/>
    <w:rsid w:val="00537A15"/>
    <w:rsid w:val="00537C62"/>
    <w:rsid w:val="005444AF"/>
    <w:rsid w:val="005448C6"/>
    <w:rsid w:val="00546970"/>
    <w:rsid w:val="0055159B"/>
    <w:rsid w:val="00554D73"/>
    <w:rsid w:val="00554E19"/>
    <w:rsid w:val="0055515E"/>
    <w:rsid w:val="0056121F"/>
    <w:rsid w:val="00565BA3"/>
    <w:rsid w:val="00566E75"/>
    <w:rsid w:val="005701D8"/>
    <w:rsid w:val="00572505"/>
    <w:rsid w:val="00575C39"/>
    <w:rsid w:val="00582809"/>
    <w:rsid w:val="005856D4"/>
    <w:rsid w:val="0058798C"/>
    <w:rsid w:val="005900FA"/>
    <w:rsid w:val="00591DDB"/>
    <w:rsid w:val="005935A4"/>
    <w:rsid w:val="005948C2"/>
    <w:rsid w:val="00595938"/>
    <w:rsid w:val="00595DCA"/>
    <w:rsid w:val="0059779B"/>
    <w:rsid w:val="005A209A"/>
    <w:rsid w:val="005A662D"/>
    <w:rsid w:val="005B1409"/>
    <w:rsid w:val="005B28DC"/>
    <w:rsid w:val="005B34D2"/>
    <w:rsid w:val="005B35D7"/>
    <w:rsid w:val="005B392A"/>
    <w:rsid w:val="005B3AA3"/>
    <w:rsid w:val="005B6F83"/>
    <w:rsid w:val="005C64B7"/>
    <w:rsid w:val="005C74FB"/>
    <w:rsid w:val="005D1602"/>
    <w:rsid w:val="005D301B"/>
    <w:rsid w:val="005E385F"/>
    <w:rsid w:val="005E5B81"/>
    <w:rsid w:val="005F2CB1"/>
    <w:rsid w:val="005F3025"/>
    <w:rsid w:val="005F49EC"/>
    <w:rsid w:val="005F618C"/>
    <w:rsid w:val="005F70BD"/>
    <w:rsid w:val="00600F2A"/>
    <w:rsid w:val="006023B9"/>
    <w:rsid w:val="0060283C"/>
    <w:rsid w:val="00604F14"/>
    <w:rsid w:val="00606C35"/>
    <w:rsid w:val="00611B83"/>
    <w:rsid w:val="00613257"/>
    <w:rsid w:val="006142AD"/>
    <w:rsid w:val="00616B35"/>
    <w:rsid w:val="00620A71"/>
    <w:rsid w:val="00620D80"/>
    <w:rsid w:val="006234A6"/>
    <w:rsid w:val="00624514"/>
    <w:rsid w:val="00630001"/>
    <w:rsid w:val="006311B3"/>
    <w:rsid w:val="0063284C"/>
    <w:rsid w:val="00636398"/>
    <w:rsid w:val="006368D3"/>
    <w:rsid w:val="006377EC"/>
    <w:rsid w:val="0064151F"/>
    <w:rsid w:val="00641533"/>
    <w:rsid w:val="0064208D"/>
    <w:rsid w:val="0064313F"/>
    <w:rsid w:val="00643475"/>
    <w:rsid w:val="0064396A"/>
    <w:rsid w:val="0064624E"/>
    <w:rsid w:val="00650AB9"/>
    <w:rsid w:val="00652714"/>
    <w:rsid w:val="0065555D"/>
    <w:rsid w:val="00655733"/>
    <w:rsid w:val="00655ACD"/>
    <w:rsid w:val="00656A92"/>
    <w:rsid w:val="00656DDE"/>
    <w:rsid w:val="0066011D"/>
    <w:rsid w:val="006607C0"/>
    <w:rsid w:val="00660F0C"/>
    <w:rsid w:val="006613A6"/>
    <w:rsid w:val="006627A2"/>
    <w:rsid w:val="006634E6"/>
    <w:rsid w:val="006640CD"/>
    <w:rsid w:val="006655EE"/>
    <w:rsid w:val="00667EE7"/>
    <w:rsid w:val="0067066A"/>
    <w:rsid w:val="00670922"/>
    <w:rsid w:val="00670BE1"/>
    <w:rsid w:val="00670EF7"/>
    <w:rsid w:val="0067218F"/>
    <w:rsid w:val="006741F2"/>
    <w:rsid w:val="00674CC3"/>
    <w:rsid w:val="00675C72"/>
    <w:rsid w:val="006771F9"/>
    <w:rsid w:val="006776D7"/>
    <w:rsid w:val="00677FF8"/>
    <w:rsid w:val="00681003"/>
    <w:rsid w:val="006817C9"/>
    <w:rsid w:val="00683ECE"/>
    <w:rsid w:val="006877A3"/>
    <w:rsid w:val="006945FB"/>
    <w:rsid w:val="0069553B"/>
    <w:rsid w:val="00695FC2"/>
    <w:rsid w:val="00696949"/>
    <w:rsid w:val="00697052"/>
    <w:rsid w:val="006A46FB"/>
    <w:rsid w:val="006A5E28"/>
    <w:rsid w:val="006A63C9"/>
    <w:rsid w:val="006A697B"/>
    <w:rsid w:val="006A7AFF"/>
    <w:rsid w:val="006B1816"/>
    <w:rsid w:val="006B2099"/>
    <w:rsid w:val="006B2EBE"/>
    <w:rsid w:val="006B50CF"/>
    <w:rsid w:val="006C03B8"/>
    <w:rsid w:val="006C5B32"/>
    <w:rsid w:val="006C5EC9"/>
    <w:rsid w:val="006C6059"/>
    <w:rsid w:val="006C7522"/>
    <w:rsid w:val="006D6F08"/>
    <w:rsid w:val="006D7601"/>
    <w:rsid w:val="006E062C"/>
    <w:rsid w:val="006E1C82"/>
    <w:rsid w:val="006E28B7"/>
    <w:rsid w:val="006E2A9B"/>
    <w:rsid w:val="006E3310"/>
    <w:rsid w:val="006E4E39"/>
    <w:rsid w:val="006E565E"/>
    <w:rsid w:val="006E673D"/>
    <w:rsid w:val="006E7D3B"/>
    <w:rsid w:val="006F1B70"/>
    <w:rsid w:val="006F341D"/>
    <w:rsid w:val="006F3CDE"/>
    <w:rsid w:val="006F3F5D"/>
    <w:rsid w:val="006F4142"/>
    <w:rsid w:val="006F581A"/>
    <w:rsid w:val="006F58D4"/>
    <w:rsid w:val="006F6582"/>
    <w:rsid w:val="0070346E"/>
    <w:rsid w:val="00704EDB"/>
    <w:rsid w:val="00706101"/>
    <w:rsid w:val="00707067"/>
    <w:rsid w:val="00707072"/>
    <w:rsid w:val="00707D61"/>
    <w:rsid w:val="0071001C"/>
    <w:rsid w:val="00712287"/>
    <w:rsid w:val="00712772"/>
    <w:rsid w:val="007148D3"/>
    <w:rsid w:val="00715B9A"/>
    <w:rsid w:val="00721B32"/>
    <w:rsid w:val="00722F96"/>
    <w:rsid w:val="0072500E"/>
    <w:rsid w:val="007257D0"/>
    <w:rsid w:val="00726EA6"/>
    <w:rsid w:val="00727208"/>
    <w:rsid w:val="00727680"/>
    <w:rsid w:val="007348B1"/>
    <w:rsid w:val="007362A6"/>
    <w:rsid w:val="00736688"/>
    <w:rsid w:val="00736D7D"/>
    <w:rsid w:val="00740E58"/>
    <w:rsid w:val="007445A0"/>
    <w:rsid w:val="0074524B"/>
    <w:rsid w:val="00747D8B"/>
    <w:rsid w:val="00751228"/>
    <w:rsid w:val="00753C41"/>
    <w:rsid w:val="007571E1"/>
    <w:rsid w:val="007604B2"/>
    <w:rsid w:val="00765281"/>
    <w:rsid w:val="00766BAD"/>
    <w:rsid w:val="007729A2"/>
    <w:rsid w:val="007755F2"/>
    <w:rsid w:val="00776971"/>
    <w:rsid w:val="00780A80"/>
    <w:rsid w:val="0078177E"/>
    <w:rsid w:val="00782BA2"/>
    <w:rsid w:val="0078304C"/>
    <w:rsid w:val="00783673"/>
    <w:rsid w:val="00785490"/>
    <w:rsid w:val="00791B1D"/>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0E09"/>
    <w:rsid w:val="007D5901"/>
    <w:rsid w:val="007D7526"/>
    <w:rsid w:val="007E072A"/>
    <w:rsid w:val="007E4610"/>
    <w:rsid w:val="007E4715"/>
    <w:rsid w:val="007E505B"/>
    <w:rsid w:val="007E7091"/>
    <w:rsid w:val="00803FAE"/>
    <w:rsid w:val="0080605F"/>
    <w:rsid w:val="00807786"/>
    <w:rsid w:val="00811FCB"/>
    <w:rsid w:val="008158D6"/>
    <w:rsid w:val="00817196"/>
    <w:rsid w:val="00820256"/>
    <w:rsid w:val="008235DB"/>
    <w:rsid w:val="00824AB4"/>
    <w:rsid w:val="00824B6D"/>
    <w:rsid w:val="00825C42"/>
    <w:rsid w:val="00825D25"/>
    <w:rsid w:val="0082672A"/>
    <w:rsid w:val="00827D6F"/>
    <w:rsid w:val="00835F9E"/>
    <w:rsid w:val="008376AC"/>
    <w:rsid w:val="008444E8"/>
    <w:rsid w:val="00844E80"/>
    <w:rsid w:val="00846FE7"/>
    <w:rsid w:val="00856911"/>
    <w:rsid w:val="008677FD"/>
    <w:rsid w:val="008706D4"/>
    <w:rsid w:val="00870F8A"/>
    <w:rsid w:val="008719A4"/>
    <w:rsid w:val="00871D23"/>
    <w:rsid w:val="00874312"/>
    <w:rsid w:val="0087437C"/>
    <w:rsid w:val="00875CD7"/>
    <w:rsid w:val="00875E17"/>
    <w:rsid w:val="00876A33"/>
    <w:rsid w:val="00876B4D"/>
    <w:rsid w:val="00877F18"/>
    <w:rsid w:val="00890E1C"/>
    <w:rsid w:val="008941E3"/>
    <w:rsid w:val="00894A88"/>
    <w:rsid w:val="00895386"/>
    <w:rsid w:val="00896630"/>
    <w:rsid w:val="008A21FF"/>
    <w:rsid w:val="008A2CE2"/>
    <w:rsid w:val="008A30AC"/>
    <w:rsid w:val="008A44B8"/>
    <w:rsid w:val="008A51A8"/>
    <w:rsid w:val="008A54C7"/>
    <w:rsid w:val="008A6FE3"/>
    <w:rsid w:val="008A77D8"/>
    <w:rsid w:val="008B0483"/>
    <w:rsid w:val="008B120C"/>
    <w:rsid w:val="008B2975"/>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DE6"/>
    <w:rsid w:val="008F1EAB"/>
    <w:rsid w:val="008F33DC"/>
    <w:rsid w:val="008F477F"/>
    <w:rsid w:val="00902350"/>
    <w:rsid w:val="00902CAE"/>
    <w:rsid w:val="0090336B"/>
    <w:rsid w:val="009053AA"/>
    <w:rsid w:val="00906939"/>
    <w:rsid w:val="00910B7D"/>
    <w:rsid w:val="009114C2"/>
    <w:rsid w:val="00911606"/>
    <w:rsid w:val="00911DFB"/>
    <w:rsid w:val="009139D9"/>
    <w:rsid w:val="00914AD8"/>
    <w:rsid w:val="00916079"/>
    <w:rsid w:val="00917CE9"/>
    <w:rsid w:val="0092075B"/>
    <w:rsid w:val="00920BF2"/>
    <w:rsid w:val="009211E7"/>
    <w:rsid w:val="00922010"/>
    <w:rsid w:val="00931A57"/>
    <w:rsid w:val="00931BD9"/>
    <w:rsid w:val="00931DAB"/>
    <w:rsid w:val="009368F3"/>
    <w:rsid w:val="00941636"/>
    <w:rsid w:val="00943742"/>
    <w:rsid w:val="00945C05"/>
    <w:rsid w:val="009463C4"/>
    <w:rsid w:val="00946945"/>
    <w:rsid w:val="00947713"/>
    <w:rsid w:val="00950DE7"/>
    <w:rsid w:val="00953920"/>
    <w:rsid w:val="00953D47"/>
    <w:rsid w:val="0095681E"/>
    <w:rsid w:val="009572D4"/>
    <w:rsid w:val="00961921"/>
    <w:rsid w:val="0096430A"/>
    <w:rsid w:val="0096554B"/>
    <w:rsid w:val="0096584A"/>
    <w:rsid w:val="0097004E"/>
    <w:rsid w:val="00971F08"/>
    <w:rsid w:val="0097603D"/>
    <w:rsid w:val="00976949"/>
    <w:rsid w:val="00980477"/>
    <w:rsid w:val="00985253"/>
    <w:rsid w:val="009853B3"/>
    <w:rsid w:val="00990630"/>
    <w:rsid w:val="00991118"/>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C89"/>
    <w:rsid w:val="009C403E"/>
    <w:rsid w:val="009D4FF0"/>
    <w:rsid w:val="009D703C"/>
    <w:rsid w:val="009D718F"/>
    <w:rsid w:val="009E068F"/>
    <w:rsid w:val="009E14E0"/>
    <w:rsid w:val="009E25D8"/>
    <w:rsid w:val="009E35DB"/>
    <w:rsid w:val="009E47A3"/>
    <w:rsid w:val="009F08F3"/>
    <w:rsid w:val="009F344F"/>
    <w:rsid w:val="00A031D8"/>
    <w:rsid w:val="00A048A8"/>
    <w:rsid w:val="00A04F49"/>
    <w:rsid w:val="00A05534"/>
    <w:rsid w:val="00A05928"/>
    <w:rsid w:val="00A068E2"/>
    <w:rsid w:val="00A136F6"/>
    <w:rsid w:val="00A13E54"/>
    <w:rsid w:val="00A143F9"/>
    <w:rsid w:val="00A17F63"/>
    <w:rsid w:val="00A2193B"/>
    <w:rsid w:val="00A2351A"/>
    <w:rsid w:val="00A264A9"/>
    <w:rsid w:val="00A26DCF"/>
    <w:rsid w:val="00A2715C"/>
    <w:rsid w:val="00A27785"/>
    <w:rsid w:val="00A278CF"/>
    <w:rsid w:val="00A30187"/>
    <w:rsid w:val="00A3448A"/>
    <w:rsid w:val="00A36297"/>
    <w:rsid w:val="00A405FE"/>
    <w:rsid w:val="00A41E2B"/>
    <w:rsid w:val="00A425F6"/>
    <w:rsid w:val="00A43FE2"/>
    <w:rsid w:val="00A45B74"/>
    <w:rsid w:val="00A51CC2"/>
    <w:rsid w:val="00A52E1D"/>
    <w:rsid w:val="00A60C77"/>
    <w:rsid w:val="00A60F65"/>
    <w:rsid w:val="00A61499"/>
    <w:rsid w:val="00A62A77"/>
    <w:rsid w:val="00A63483"/>
    <w:rsid w:val="00A657D7"/>
    <w:rsid w:val="00A660AC"/>
    <w:rsid w:val="00A67E6C"/>
    <w:rsid w:val="00A71B99"/>
    <w:rsid w:val="00A730B8"/>
    <w:rsid w:val="00A739D0"/>
    <w:rsid w:val="00A761D4"/>
    <w:rsid w:val="00A77EC4"/>
    <w:rsid w:val="00A90EC1"/>
    <w:rsid w:val="00A92879"/>
    <w:rsid w:val="00A9442A"/>
    <w:rsid w:val="00A94AB0"/>
    <w:rsid w:val="00AA016F"/>
    <w:rsid w:val="00AA1ED6"/>
    <w:rsid w:val="00AA51D6"/>
    <w:rsid w:val="00AB0BC8"/>
    <w:rsid w:val="00AB11CA"/>
    <w:rsid w:val="00AB14D9"/>
    <w:rsid w:val="00AB4AB8"/>
    <w:rsid w:val="00AB655E"/>
    <w:rsid w:val="00AB7DA2"/>
    <w:rsid w:val="00AC007F"/>
    <w:rsid w:val="00AC039E"/>
    <w:rsid w:val="00AC10E8"/>
    <w:rsid w:val="00AC2ECD"/>
    <w:rsid w:val="00AC3119"/>
    <w:rsid w:val="00AC43AB"/>
    <w:rsid w:val="00AC49FB"/>
    <w:rsid w:val="00AC5A10"/>
    <w:rsid w:val="00AD0AA3"/>
    <w:rsid w:val="00AD2ED0"/>
    <w:rsid w:val="00AD3F94"/>
    <w:rsid w:val="00AD4A5A"/>
    <w:rsid w:val="00AE27AC"/>
    <w:rsid w:val="00AE40E0"/>
    <w:rsid w:val="00AE4DBA"/>
    <w:rsid w:val="00AE4F07"/>
    <w:rsid w:val="00AF1C5D"/>
    <w:rsid w:val="00AF2169"/>
    <w:rsid w:val="00AF42D7"/>
    <w:rsid w:val="00AF54EC"/>
    <w:rsid w:val="00B006FE"/>
    <w:rsid w:val="00B007CB"/>
    <w:rsid w:val="00B02AA9"/>
    <w:rsid w:val="00B02FA3"/>
    <w:rsid w:val="00B05084"/>
    <w:rsid w:val="00B157F9"/>
    <w:rsid w:val="00B17728"/>
    <w:rsid w:val="00B20256"/>
    <w:rsid w:val="00B20D09"/>
    <w:rsid w:val="00B22846"/>
    <w:rsid w:val="00B2757F"/>
    <w:rsid w:val="00B2763F"/>
    <w:rsid w:val="00B27AAC"/>
    <w:rsid w:val="00B30929"/>
    <w:rsid w:val="00B316E1"/>
    <w:rsid w:val="00B3724C"/>
    <w:rsid w:val="00B372AA"/>
    <w:rsid w:val="00B40445"/>
    <w:rsid w:val="00B409E0"/>
    <w:rsid w:val="00B41888"/>
    <w:rsid w:val="00B4293D"/>
    <w:rsid w:val="00B45A52"/>
    <w:rsid w:val="00B46175"/>
    <w:rsid w:val="00B548B7"/>
    <w:rsid w:val="00B65726"/>
    <w:rsid w:val="00B664C7"/>
    <w:rsid w:val="00B713D8"/>
    <w:rsid w:val="00B739F6"/>
    <w:rsid w:val="00B81A6C"/>
    <w:rsid w:val="00B84C5F"/>
    <w:rsid w:val="00B85DE5"/>
    <w:rsid w:val="00B90F73"/>
    <w:rsid w:val="00B93B59"/>
    <w:rsid w:val="00B9406A"/>
    <w:rsid w:val="00BA2280"/>
    <w:rsid w:val="00BA2A08"/>
    <w:rsid w:val="00BA4488"/>
    <w:rsid w:val="00BA56D2"/>
    <w:rsid w:val="00BA76E0"/>
    <w:rsid w:val="00BB2A25"/>
    <w:rsid w:val="00BB51E9"/>
    <w:rsid w:val="00BC0FDC"/>
    <w:rsid w:val="00BC3053"/>
    <w:rsid w:val="00BC4D2E"/>
    <w:rsid w:val="00BD3A98"/>
    <w:rsid w:val="00BD48AC"/>
    <w:rsid w:val="00BD5F1A"/>
    <w:rsid w:val="00BE1234"/>
    <w:rsid w:val="00BE2FA6"/>
    <w:rsid w:val="00BE333F"/>
    <w:rsid w:val="00BE7406"/>
    <w:rsid w:val="00BE7603"/>
    <w:rsid w:val="00BE7978"/>
    <w:rsid w:val="00BF3279"/>
    <w:rsid w:val="00BF70FC"/>
    <w:rsid w:val="00BF74C7"/>
    <w:rsid w:val="00BF7CCC"/>
    <w:rsid w:val="00C015F1"/>
    <w:rsid w:val="00C01F33"/>
    <w:rsid w:val="00C02CC6"/>
    <w:rsid w:val="00C040F7"/>
    <w:rsid w:val="00C044AB"/>
    <w:rsid w:val="00C05706"/>
    <w:rsid w:val="00C07377"/>
    <w:rsid w:val="00C10478"/>
    <w:rsid w:val="00C11C14"/>
    <w:rsid w:val="00C12107"/>
    <w:rsid w:val="00C14D4B"/>
    <w:rsid w:val="00C154BB"/>
    <w:rsid w:val="00C17C54"/>
    <w:rsid w:val="00C230AF"/>
    <w:rsid w:val="00C279B5"/>
    <w:rsid w:val="00C27C45"/>
    <w:rsid w:val="00C30730"/>
    <w:rsid w:val="00C33945"/>
    <w:rsid w:val="00C3719D"/>
    <w:rsid w:val="00C37CB2"/>
    <w:rsid w:val="00C41B84"/>
    <w:rsid w:val="00C473A5"/>
    <w:rsid w:val="00C54995"/>
    <w:rsid w:val="00C54D41"/>
    <w:rsid w:val="00C60783"/>
    <w:rsid w:val="00C626A1"/>
    <w:rsid w:val="00C64672"/>
    <w:rsid w:val="00C70697"/>
    <w:rsid w:val="00C72093"/>
    <w:rsid w:val="00C72EF4"/>
    <w:rsid w:val="00C744FE"/>
    <w:rsid w:val="00C75D2F"/>
    <w:rsid w:val="00C767BE"/>
    <w:rsid w:val="00C76E3C"/>
    <w:rsid w:val="00C81568"/>
    <w:rsid w:val="00C82081"/>
    <w:rsid w:val="00C9027A"/>
    <w:rsid w:val="00C9068E"/>
    <w:rsid w:val="00C93814"/>
    <w:rsid w:val="00C93C4B"/>
    <w:rsid w:val="00C944AB"/>
    <w:rsid w:val="00C95B40"/>
    <w:rsid w:val="00CA1ED8"/>
    <w:rsid w:val="00CA3609"/>
    <w:rsid w:val="00CB0836"/>
    <w:rsid w:val="00CB1F63"/>
    <w:rsid w:val="00CB70CD"/>
    <w:rsid w:val="00CB7170"/>
    <w:rsid w:val="00CC040E"/>
    <w:rsid w:val="00CC111F"/>
    <w:rsid w:val="00CC2011"/>
    <w:rsid w:val="00CC3EA0"/>
    <w:rsid w:val="00CC7B45"/>
    <w:rsid w:val="00CD03FF"/>
    <w:rsid w:val="00CD1188"/>
    <w:rsid w:val="00CD2ED1"/>
    <w:rsid w:val="00CD337B"/>
    <w:rsid w:val="00CE0424"/>
    <w:rsid w:val="00CE7561"/>
    <w:rsid w:val="00CF1354"/>
    <w:rsid w:val="00CF1904"/>
    <w:rsid w:val="00CF1A79"/>
    <w:rsid w:val="00CF3B1F"/>
    <w:rsid w:val="00CF3BF6"/>
    <w:rsid w:val="00CF625B"/>
    <w:rsid w:val="00CF687E"/>
    <w:rsid w:val="00D0349B"/>
    <w:rsid w:val="00D10249"/>
    <w:rsid w:val="00D115C3"/>
    <w:rsid w:val="00D11897"/>
    <w:rsid w:val="00D13135"/>
    <w:rsid w:val="00D13E4E"/>
    <w:rsid w:val="00D239A7"/>
    <w:rsid w:val="00D23F47"/>
    <w:rsid w:val="00D339F1"/>
    <w:rsid w:val="00D36E71"/>
    <w:rsid w:val="00D370F6"/>
    <w:rsid w:val="00D37D87"/>
    <w:rsid w:val="00D40B33"/>
    <w:rsid w:val="00D411EF"/>
    <w:rsid w:val="00D4318F"/>
    <w:rsid w:val="00D438BF"/>
    <w:rsid w:val="00D440F8"/>
    <w:rsid w:val="00D474F3"/>
    <w:rsid w:val="00D546FF"/>
    <w:rsid w:val="00D54DA7"/>
    <w:rsid w:val="00D55AD5"/>
    <w:rsid w:val="00D573AC"/>
    <w:rsid w:val="00D576CA"/>
    <w:rsid w:val="00D57DBC"/>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134"/>
    <w:rsid w:val="00DB0A9F"/>
    <w:rsid w:val="00DB377D"/>
    <w:rsid w:val="00DC0266"/>
    <w:rsid w:val="00DC07F3"/>
    <w:rsid w:val="00DC20E8"/>
    <w:rsid w:val="00DC2D36"/>
    <w:rsid w:val="00DC53EF"/>
    <w:rsid w:val="00DC5B19"/>
    <w:rsid w:val="00DE5608"/>
    <w:rsid w:val="00DE58D0"/>
    <w:rsid w:val="00DE654F"/>
    <w:rsid w:val="00DF0B6E"/>
    <w:rsid w:val="00DF15E0"/>
    <w:rsid w:val="00DF1687"/>
    <w:rsid w:val="00DF37A0"/>
    <w:rsid w:val="00E0063C"/>
    <w:rsid w:val="00E110E7"/>
    <w:rsid w:val="00E11B20"/>
    <w:rsid w:val="00E1467D"/>
    <w:rsid w:val="00E15AD6"/>
    <w:rsid w:val="00E17FA2"/>
    <w:rsid w:val="00E22330"/>
    <w:rsid w:val="00E23576"/>
    <w:rsid w:val="00E30B5A"/>
    <w:rsid w:val="00E3123D"/>
    <w:rsid w:val="00E31461"/>
    <w:rsid w:val="00E31921"/>
    <w:rsid w:val="00E31D43"/>
    <w:rsid w:val="00E32608"/>
    <w:rsid w:val="00E34188"/>
    <w:rsid w:val="00E34B6E"/>
    <w:rsid w:val="00E35559"/>
    <w:rsid w:val="00E3723A"/>
    <w:rsid w:val="00E37860"/>
    <w:rsid w:val="00E446F1"/>
    <w:rsid w:val="00E46886"/>
    <w:rsid w:val="00E47AEF"/>
    <w:rsid w:val="00E50BB4"/>
    <w:rsid w:val="00E53B75"/>
    <w:rsid w:val="00E54E3B"/>
    <w:rsid w:val="00E57565"/>
    <w:rsid w:val="00E63838"/>
    <w:rsid w:val="00E64434"/>
    <w:rsid w:val="00E667E6"/>
    <w:rsid w:val="00E67C51"/>
    <w:rsid w:val="00E72EFC"/>
    <w:rsid w:val="00E758EC"/>
    <w:rsid w:val="00E8234C"/>
    <w:rsid w:val="00E826BC"/>
    <w:rsid w:val="00E83AA9"/>
    <w:rsid w:val="00E85928"/>
    <w:rsid w:val="00E87822"/>
    <w:rsid w:val="00E90395"/>
    <w:rsid w:val="00E90C66"/>
    <w:rsid w:val="00E90E49"/>
    <w:rsid w:val="00E917F9"/>
    <w:rsid w:val="00E9291C"/>
    <w:rsid w:val="00E93FFE"/>
    <w:rsid w:val="00E94F8A"/>
    <w:rsid w:val="00EA227E"/>
    <w:rsid w:val="00EA7A41"/>
    <w:rsid w:val="00EB077B"/>
    <w:rsid w:val="00EB4258"/>
    <w:rsid w:val="00EB4EA2"/>
    <w:rsid w:val="00EB61F1"/>
    <w:rsid w:val="00EC24D5"/>
    <w:rsid w:val="00EC27C6"/>
    <w:rsid w:val="00EC4207"/>
    <w:rsid w:val="00EC5653"/>
    <w:rsid w:val="00EC5E77"/>
    <w:rsid w:val="00EC71CE"/>
    <w:rsid w:val="00ED1006"/>
    <w:rsid w:val="00ED462A"/>
    <w:rsid w:val="00EE50A5"/>
    <w:rsid w:val="00EF18FE"/>
    <w:rsid w:val="00EF5787"/>
    <w:rsid w:val="00EF60D0"/>
    <w:rsid w:val="00F0528D"/>
    <w:rsid w:val="00F06C67"/>
    <w:rsid w:val="00F06DFD"/>
    <w:rsid w:val="00F071D1"/>
    <w:rsid w:val="00F07533"/>
    <w:rsid w:val="00F10629"/>
    <w:rsid w:val="00F12276"/>
    <w:rsid w:val="00F15FA5"/>
    <w:rsid w:val="00F209B7"/>
    <w:rsid w:val="00F2376F"/>
    <w:rsid w:val="00F242DF"/>
    <w:rsid w:val="00F243D8"/>
    <w:rsid w:val="00F27B09"/>
    <w:rsid w:val="00F30828"/>
    <w:rsid w:val="00F313D6"/>
    <w:rsid w:val="00F333F0"/>
    <w:rsid w:val="00F3428E"/>
    <w:rsid w:val="00F40F0C"/>
    <w:rsid w:val="00F4766C"/>
    <w:rsid w:val="00F5060E"/>
    <w:rsid w:val="00F507D1"/>
    <w:rsid w:val="00F5146C"/>
    <w:rsid w:val="00F519CE"/>
    <w:rsid w:val="00F51ADA"/>
    <w:rsid w:val="00F520F4"/>
    <w:rsid w:val="00F60203"/>
    <w:rsid w:val="00F607C5"/>
    <w:rsid w:val="00F60DEA"/>
    <w:rsid w:val="00F6302A"/>
    <w:rsid w:val="00F637BC"/>
    <w:rsid w:val="00F63950"/>
    <w:rsid w:val="00F64C2B"/>
    <w:rsid w:val="00F651BE"/>
    <w:rsid w:val="00F67F53"/>
    <w:rsid w:val="00F703BE"/>
    <w:rsid w:val="00F71F69"/>
    <w:rsid w:val="00F72B72"/>
    <w:rsid w:val="00F74BB9"/>
    <w:rsid w:val="00F75582"/>
    <w:rsid w:val="00F76EFA"/>
    <w:rsid w:val="00F804BE"/>
    <w:rsid w:val="00F817CE"/>
    <w:rsid w:val="00F8456C"/>
    <w:rsid w:val="00F84951"/>
    <w:rsid w:val="00F859D8"/>
    <w:rsid w:val="00F868F5"/>
    <w:rsid w:val="00F9056A"/>
    <w:rsid w:val="00F90F8D"/>
    <w:rsid w:val="00F92782"/>
    <w:rsid w:val="00F936FA"/>
    <w:rsid w:val="00F93AA9"/>
    <w:rsid w:val="00F965EA"/>
    <w:rsid w:val="00F96985"/>
    <w:rsid w:val="00F97838"/>
    <w:rsid w:val="00F97AA1"/>
    <w:rsid w:val="00FA2BB3"/>
    <w:rsid w:val="00FB1DF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5170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dcmitype/"/>
    <ds:schemaRef ds:uri="http://schemas.openxmlformats.org/package/2006/metadata/core-properties"/>
    <ds:schemaRef ds:uri="http://schemas.microsoft.com/sharepoint/v3"/>
    <ds:schemaRef ds:uri="http://purl.org/dc/elements/1.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d8762117-8292-4133-b1c7-eab5c6487cfd"/>
    <ds:schemaRef ds:uri="9b239327-9e80-40e4-b1b7-4394fed77a33"/>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8054</TotalTime>
  <Pages>8</Pages>
  <Words>3136</Words>
  <Characters>15486</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183</cp:revision>
  <cp:lastPrinted>2008-01-31T16:09:00Z</cp:lastPrinted>
  <dcterms:created xsi:type="dcterms:W3CDTF">2020-08-14T06:21:00Z</dcterms:created>
  <dcterms:modified xsi:type="dcterms:W3CDTF">2023-02-17T17:53:00Z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